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179E6" w14:textId="7042375D" w:rsidR="00762341" w:rsidRPr="00496D8A" w:rsidRDefault="008C5E0F" w:rsidP="00D41ED0">
      <w:pPr>
        <w:ind w:right="1062"/>
        <w:jc w:val="center"/>
        <w:rPr>
          <w:b/>
          <w:bCs/>
          <w:sz w:val="28"/>
          <w:szCs w:val="28"/>
        </w:rPr>
      </w:pPr>
      <w:r>
        <w:object w:dxaOrig="1440" w:dyaOrig="1440" w14:anchorId="65472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5pt;margin-top:1.6pt;width:58.25pt;height:74.6pt;z-index:251659264;mso-wrap-distance-left:9.05pt;mso-wrap-distance-right:9.05pt;mso-position-horizontal-relative:text;mso-position-vertical-relative:text" filled="t">
            <v:fill color2="black" type="frame"/>
            <v:imagedata r:id="rId5" o:title=""/>
            <w10:wrap type="square"/>
          </v:shape>
          <o:OLEObject Type="Embed" ProgID="CorelDRAW" ShapeID="_x0000_s1026" DrawAspect="Content" ObjectID="_1667724779" r:id="rId6"/>
        </w:object>
      </w:r>
      <w:r w:rsidR="00762341" w:rsidRPr="00496D8A">
        <w:rPr>
          <w:b/>
          <w:bCs/>
          <w:sz w:val="28"/>
          <w:szCs w:val="28"/>
        </w:rPr>
        <w:t>WÓJT GMINY KALISKA</w:t>
      </w:r>
    </w:p>
    <w:p w14:paraId="311E2859" w14:textId="1A6C9714" w:rsidR="00762341" w:rsidRPr="00D41ED0" w:rsidRDefault="00D41ED0" w:rsidP="00D41ED0">
      <w:pPr>
        <w:rPr>
          <w:sz w:val="20"/>
        </w:rPr>
      </w:pPr>
      <w:r>
        <w:rPr>
          <w:sz w:val="20"/>
        </w:rPr>
        <w:t xml:space="preserve">                                                                                                                                                                     </w:t>
      </w:r>
      <w:r w:rsidR="00762341" w:rsidRPr="00D41ED0">
        <w:rPr>
          <w:sz w:val="20"/>
        </w:rPr>
        <w:t>83-260 Kaliska  ul. Nowowiejska 2</w:t>
      </w:r>
    </w:p>
    <w:p w14:paraId="6CFEB638" w14:textId="2C9EE5CB" w:rsidR="00762341" w:rsidRPr="00D41ED0" w:rsidRDefault="00D41ED0" w:rsidP="00D41ED0">
      <w:pPr>
        <w:rPr>
          <w:sz w:val="20"/>
        </w:rPr>
      </w:pPr>
      <w:r>
        <w:rPr>
          <w:sz w:val="20"/>
        </w:rPr>
        <w:t xml:space="preserve">                                                                                                                                                                  </w:t>
      </w:r>
      <w:r w:rsidR="00762341" w:rsidRPr="00D41ED0">
        <w:rPr>
          <w:sz w:val="20"/>
        </w:rPr>
        <w:t>tel.(58) 58-89-201, fax. (58) 58-89-206</w:t>
      </w:r>
    </w:p>
    <w:p w14:paraId="02A18506" w14:textId="77777777" w:rsidR="00762341" w:rsidRPr="00D41ED0" w:rsidRDefault="00762341" w:rsidP="00D41ED0">
      <w:pPr>
        <w:ind w:left="709"/>
        <w:jc w:val="center"/>
        <w:rPr>
          <w:sz w:val="20"/>
        </w:rPr>
      </w:pPr>
    </w:p>
    <w:p w14:paraId="0978E244" w14:textId="162998AB" w:rsidR="00122B11" w:rsidRPr="00D41ED0" w:rsidRDefault="00762341" w:rsidP="00D41ED0">
      <w:pPr>
        <w:ind w:left="709"/>
        <w:jc w:val="center"/>
        <w:rPr>
          <w:sz w:val="20"/>
        </w:rPr>
      </w:pPr>
      <w:r w:rsidRPr="00D41ED0">
        <w:rPr>
          <w:sz w:val="20"/>
        </w:rPr>
        <w:t>NA PODSTAWIE UCH</w:t>
      </w:r>
      <w:r w:rsidR="0056695F" w:rsidRPr="00D41ED0">
        <w:rPr>
          <w:sz w:val="20"/>
        </w:rPr>
        <w:t>WAŁY RADY GMINY KALISKA NR XXXIV</w:t>
      </w:r>
      <w:r w:rsidRPr="00D41ED0">
        <w:rPr>
          <w:sz w:val="20"/>
        </w:rPr>
        <w:t>/2</w:t>
      </w:r>
      <w:r w:rsidR="0056695F" w:rsidRPr="00D41ED0">
        <w:rPr>
          <w:sz w:val="20"/>
        </w:rPr>
        <w:t>81</w:t>
      </w:r>
      <w:r w:rsidRPr="00D41ED0">
        <w:rPr>
          <w:sz w:val="20"/>
        </w:rPr>
        <w:t>/201</w:t>
      </w:r>
      <w:r w:rsidR="0056695F" w:rsidRPr="00D41ED0">
        <w:rPr>
          <w:sz w:val="20"/>
        </w:rPr>
        <w:t>7</w:t>
      </w:r>
      <w:r w:rsidRPr="00D41ED0">
        <w:rPr>
          <w:sz w:val="20"/>
        </w:rPr>
        <w:t xml:space="preserve"> z dnia </w:t>
      </w:r>
      <w:r w:rsidR="0056695F" w:rsidRPr="00D41ED0">
        <w:rPr>
          <w:sz w:val="20"/>
        </w:rPr>
        <w:t>12</w:t>
      </w:r>
      <w:r w:rsidRPr="00D41ED0">
        <w:rPr>
          <w:sz w:val="20"/>
        </w:rPr>
        <w:t xml:space="preserve"> </w:t>
      </w:r>
      <w:r w:rsidR="0056695F" w:rsidRPr="00D41ED0">
        <w:rPr>
          <w:sz w:val="20"/>
        </w:rPr>
        <w:t>czerwca</w:t>
      </w:r>
      <w:r w:rsidRPr="00D41ED0">
        <w:rPr>
          <w:sz w:val="20"/>
        </w:rPr>
        <w:t xml:space="preserve"> 201</w:t>
      </w:r>
      <w:r w:rsidR="0056695F" w:rsidRPr="00D41ED0">
        <w:rPr>
          <w:sz w:val="20"/>
        </w:rPr>
        <w:t>7</w:t>
      </w:r>
      <w:r w:rsidRPr="00D41ED0">
        <w:rPr>
          <w:sz w:val="20"/>
        </w:rPr>
        <w:t xml:space="preserve"> r.</w:t>
      </w:r>
    </w:p>
    <w:p w14:paraId="7D8D0F30" w14:textId="18A10851" w:rsidR="00762341" w:rsidRPr="00D41ED0" w:rsidRDefault="00122B11" w:rsidP="00D41ED0">
      <w:pPr>
        <w:ind w:left="709"/>
        <w:jc w:val="center"/>
        <w:rPr>
          <w:sz w:val="20"/>
        </w:rPr>
      </w:pPr>
      <w:r w:rsidRPr="00D41ED0">
        <w:rPr>
          <w:sz w:val="20"/>
        </w:rPr>
        <w:t>ORAZ NA PODSTAWIE UCHWAŁY RADY GMINY KALISKA NR XI</w:t>
      </w:r>
      <w:r w:rsidR="006B5909" w:rsidRPr="00D41ED0">
        <w:rPr>
          <w:sz w:val="20"/>
        </w:rPr>
        <w:t>II</w:t>
      </w:r>
      <w:r w:rsidRPr="00D41ED0">
        <w:rPr>
          <w:sz w:val="20"/>
        </w:rPr>
        <w:t>/</w:t>
      </w:r>
      <w:r w:rsidR="006B5909" w:rsidRPr="00D41ED0">
        <w:rPr>
          <w:sz w:val="20"/>
        </w:rPr>
        <w:t>124</w:t>
      </w:r>
      <w:r w:rsidRPr="00D41ED0">
        <w:rPr>
          <w:sz w:val="20"/>
        </w:rPr>
        <w:t>/2019 z dnia 30 października 2019 r.</w:t>
      </w:r>
    </w:p>
    <w:p w14:paraId="278C9605" w14:textId="3D419037" w:rsidR="00762341" w:rsidRPr="00D41ED0" w:rsidRDefault="0056695F" w:rsidP="00D41ED0">
      <w:pPr>
        <w:ind w:left="709"/>
        <w:jc w:val="center"/>
        <w:rPr>
          <w:sz w:val="20"/>
        </w:rPr>
      </w:pPr>
      <w:r w:rsidRPr="00D41ED0">
        <w:rPr>
          <w:sz w:val="20"/>
        </w:rPr>
        <w:t xml:space="preserve">OGŁASZA </w:t>
      </w:r>
      <w:r w:rsidR="00D41ED0" w:rsidRPr="00D41ED0">
        <w:rPr>
          <w:sz w:val="20"/>
        </w:rPr>
        <w:t>V</w:t>
      </w:r>
      <w:r w:rsidR="00762341" w:rsidRPr="00D41ED0">
        <w:rPr>
          <w:sz w:val="20"/>
        </w:rPr>
        <w:t xml:space="preserve"> PRZETARG USTNY NIEOGRANICZONY</w:t>
      </w:r>
    </w:p>
    <w:p w14:paraId="5764169B" w14:textId="77777777" w:rsidR="00762341" w:rsidRPr="00D41ED0" w:rsidRDefault="00762341" w:rsidP="00D41ED0">
      <w:pPr>
        <w:jc w:val="center"/>
        <w:rPr>
          <w:sz w:val="20"/>
        </w:rPr>
      </w:pPr>
      <w:r w:rsidRPr="00D41ED0">
        <w:rPr>
          <w:sz w:val="20"/>
        </w:rPr>
        <w:t>NA SPRZEDAŻ NIERUCHOMOŚCI GRUNTOWYCH STANOWIĄCYCH WASNOŚĆ GMINY KALISKA</w:t>
      </w:r>
    </w:p>
    <w:p w14:paraId="35C41B84" w14:textId="4BEC951C" w:rsidR="00762341" w:rsidRPr="00D41ED0" w:rsidRDefault="00762341" w:rsidP="00762341">
      <w:pPr>
        <w:rPr>
          <w:bCs/>
          <w:sz w:val="20"/>
        </w:rPr>
      </w:pPr>
    </w:p>
    <w:tbl>
      <w:tblPr>
        <w:tblW w:w="17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1842"/>
        <w:gridCol w:w="1560"/>
        <w:gridCol w:w="2836"/>
        <w:gridCol w:w="3542"/>
        <w:gridCol w:w="1843"/>
        <w:gridCol w:w="2977"/>
      </w:tblGrid>
      <w:tr w:rsidR="00762341" w:rsidRPr="00D41ED0" w14:paraId="7EFC4FF5" w14:textId="77777777" w:rsidTr="00D41ED0">
        <w:trPr>
          <w:jc w:val="center"/>
        </w:trPr>
        <w:tc>
          <w:tcPr>
            <w:tcW w:w="704" w:type="dxa"/>
            <w:shd w:val="clear" w:color="auto" w:fill="auto"/>
            <w:vAlign w:val="center"/>
          </w:tcPr>
          <w:p w14:paraId="6EE88F0A" w14:textId="77777777" w:rsidR="00762341" w:rsidRPr="00E31C05" w:rsidRDefault="00762341" w:rsidP="00D41ED0">
            <w:pPr>
              <w:jc w:val="center"/>
              <w:rPr>
                <w:b/>
                <w:sz w:val="20"/>
              </w:rPr>
            </w:pPr>
            <w:r w:rsidRPr="00E31C05">
              <w:rPr>
                <w:b/>
                <w:sz w:val="20"/>
              </w:rPr>
              <w:t>Lp.</w:t>
            </w:r>
          </w:p>
        </w:tc>
        <w:tc>
          <w:tcPr>
            <w:tcW w:w="1985" w:type="dxa"/>
            <w:shd w:val="clear" w:color="auto" w:fill="auto"/>
            <w:vAlign w:val="center"/>
          </w:tcPr>
          <w:p w14:paraId="0CFD92ED" w14:textId="77777777" w:rsidR="00762341" w:rsidRPr="00E31C05" w:rsidRDefault="00762341" w:rsidP="00D41ED0">
            <w:pPr>
              <w:jc w:val="center"/>
              <w:rPr>
                <w:b/>
                <w:sz w:val="20"/>
              </w:rPr>
            </w:pPr>
            <w:r w:rsidRPr="00E31C05">
              <w:rPr>
                <w:b/>
                <w:sz w:val="20"/>
              </w:rPr>
              <w:t>Położenie</w:t>
            </w:r>
          </w:p>
        </w:tc>
        <w:tc>
          <w:tcPr>
            <w:tcW w:w="1842" w:type="dxa"/>
            <w:shd w:val="clear" w:color="auto" w:fill="auto"/>
            <w:vAlign w:val="center"/>
          </w:tcPr>
          <w:p w14:paraId="77E0CB06" w14:textId="77777777" w:rsidR="00762341" w:rsidRPr="00E31C05" w:rsidRDefault="00762341" w:rsidP="00D41ED0">
            <w:pPr>
              <w:jc w:val="center"/>
              <w:rPr>
                <w:b/>
                <w:sz w:val="20"/>
              </w:rPr>
            </w:pPr>
            <w:r w:rsidRPr="00E31C05">
              <w:rPr>
                <w:b/>
                <w:sz w:val="20"/>
              </w:rPr>
              <w:t>Nr działki</w:t>
            </w:r>
          </w:p>
        </w:tc>
        <w:tc>
          <w:tcPr>
            <w:tcW w:w="1560" w:type="dxa"/>
            <w:shd w:val="clear" w:color="auto" w:fill="auto"/>
            <w:vAlign w:val="center"/>
          </w:tcPr>
          <w:p w14:paraId="05D98E02" w14:textId="77777777" w:rsidR="00762341" w:rsidRPr="00E31C05" w:rsidRDefault="00762341" w:rsidP="00447DE4">
            <w:pPr>
              <w:jc w:val="center"/>
              <w:rPr>
                <w:b/>
                <w:sz w:val="20"/>
              </w:rPr>
            </w:pPr>
            <w:r w:rsidRPr="00E31C05">
              <w:rPr>
                <w:b/>
                <w:sz w:val="20"/>
              </w:rPr>
              <w:t>Pow.</w:t>
            </w:r>
          </w:p>
          <w:p w14:paraId="06299AB4" w14:textId="77777777" w:rsidR="00762341" w:rsidRPr="00E31C05" w:rsidRDefault="00762341" w:rsidP="00447DE4">
            <w:pPr>
              <w:jc w:val="center"/>
              <w:rPr>
                <w:b/>
                <w:sz w:val="20"/>
              </w:rPr>
            </w:pPr>
            <w:r w:rsidRPr="00E31C05">
              <w:rPr>
                <w:b/>
                <w:sz w:val="20"/>
              </w:rPr>
              <w:t>w m</w:t>
            </w:r>
            <w:r w:rsidRPr="00E31C05">
              <w:rPr>
                <w:b/>
                <w:sz w:val="20"/>
                <w:vertAlign w:val="superscript"/>
              </w:rPr>
              <w:t>2</w:t>
            </w:r>
          </w:p>
        </w:tc>
        <w:tc>
          <w:tcPr>
            <w:tcW w:w="2836" w:type="dxa"/>
            <w:shd w:val="clear" w:color="auto" w:fill="auto"/>
            <w:vAlign w:val="center"/>
          </w:tcPr>
          <w:p w14:paraId="052092CF" w14:textId="77777777" w:rsidR="00762341" w:rsidRPr="00E31C05" w:rsidRDefault="00762341" w:rsidP="00447DE4">
            <w:pPr>
              <w:jc w:val="center"/>
              <w:rPr>
                <w:b/>
                <w:sz w:val="20"/>
              </w:rPr>
            </w:pPr>
            <w:r w:rsidRPr="00E31C05">
              <w:rPr>
                <w:b/>
                <w:sz w:val="20"/>
              </w:rPr>
              <w:t xml:space="preserve">Nr KW </w:t>
            </w:r>
          </w:p>
        </w:tc>
        <w:tc>
          <w:tcPr>
            <w:tcW w:w="3542" w:type="dxa"/>
            <w:shd w:val="clear" w:color="auto" w:fill="auto"/>
            <w:vAlign w:val="center"/>
          </w:tcPr>
          <w:p w14:paraId="4DACB124" w14:textId="77777777" w:rsidR="00762341" w:rsidRPr="00E31C05" w:rsidRDefault="00762341" w:rsidP="00447DE4">
            <w:pPr>
              <w:jc w:val="center"/>
              <w:rPr>
                <w:b/>
                <w:sz w:val="20"/>
              </w:rPr>
            </w:pPr>
            <w:r w:rsidRPr="00E31C05">
              <w:rPr>
                <w:b/>
                <w:sz w:val="20"/>
              </w:rPr>
              <w:t>Cena wywoławcza nieruchomości netto  w  zł</w:t>
            </w:r>
          </w:p>
        </w:tc>
        <w:tc>
          <w:tcPr>
            <w:tcW w:w="1843" w:type="dxa"/>
            <w:shd w:val="clear" w:color="auto" w:fill="auto"/>
            <w:vAlign w:val="center"/>
          </w:tcPr>
          <w:p w14:paraId="31E9554B" w14:textId="77777777" w:rsidR="00762341" w:rsidRPr="00E31C05" w:rsidRDefault="00762341" w:rsidP="00D41ED0">
            <w:pPr>
              <w:jc w:val="center"/>
              <w:rPr>
                <w:b/>
                <w:sz w:val="20"/>
              </w:rPr>
            </w:pPr>
            <w:r w:rsidRPr="00E31C05">
              <w:rPr>
                <w:b/>
                <w:sz w:val="20"/>
              </w:rPr>
              <w:t>Wadium</w:t>
            </w:r>
          </w:p>
          <w:p w14:paraId="5F79E19B" w14:textId="77777777" w:rsidR="00762341" w:rsidRPr="00E31C05" w:rsidRDefault="00762341" w:rsidP="00447DE4">
            <w:pPr>
              <w:jc w:val="center"/>
              <w:rPr>
                <w:b/>
                <w:sz w:val="20"/>
              </w:rPr>
            </w:pPr>
            <w:r w:rsidRPr="00E31C05">
              <w:rPr>
                <w:b/>
                <w:sz w:val="20"/>
              </w:rPr>
              <w:t>w  zł</w:t>
            </w:r>
          </w:p>
        </w:tc>
        <w:tc>
          <w:tcPr>
            <w:tcW w:w="2977" w:type="dxa"/>
            <w:shd w:val="clear" w:color="auto" w:fill="auto"/>
            <w:vAlign w:val="center"/>
          </w:tcPr>
          <w:p w14:paraId="24A67CF3" w14:textId="67137CEC" w:rsidR="00762341" w:rsidRPr="00E31C05" w:rsidRDefault="00762341" w:rsidP="00D41ED0">
            <w:pPr>
              <w:jc w:val="center"/>
              <w:rPr>
                <w:b/>
                <w:sz w:val="20"/>
              </w:rPr>
            </w:pPr>
            <w:r w:rsidRPr="00E31C05">
              <w:rPr>
                <w:b/>
                <w:sz w:val="20"/>
              </w:rPr>
              <w:t>Minimalne</w:t>
            </w:r>
            <w:r w:rsidR="00D41ED0" w:rsidRPr="00E31C05">
              <w:rPr>
                <w:b/>
                <w:sz w:val="20"/>
              </w:rPr>
              <w:t xml:space="preserve"> </w:t>
            </w:r>
            <w:r w:rsidRPr="00E31C05">
              <w:rPr>
                <w:b/>
                <w:sz w:val="20"/>
              </w:rPr>
              <w:t>postąpienie</w:t>
            </w:r>
          </w:p>
          <w:p w14:paraId="22144734" w14:textId="77777777" w:rsidR="00762341" w:rsidRPr="00E31C05" w:rsidRDefault="00762341" w:rsidP="00447DE4">
            <w:pPr>
              <w:jc w:val="center"/>
              <w:rPr>
                <w:b/>
                <w:sz w:val="20"/>
              </w:rPr>
            </w:pPr>
            <w:r w:rsidRPr="00E31C05">
              <w:rPr>
                <w:b/>
                <w:sz w:val="20"/>
              </w:rPr>
              <w:t>w  zł</w:t>
            </w:r>
          </w:p>
        </w:tc>
      </w:tr>
      <w:tr w:rsidR="00BE60C0" w:rsidRPr="00D41ED0" w14:paraId="06B95280" w14:textId="77777777" w:rsidTr="00D41ED0">
        <w:trPr>
          <w:trHeight w:val="92"/>
          <w:jc w:val="center"/>
        </w:trPr>
        <w:tc>
          <w:tcPr>
            <w:tcW w:w="704" w:type="dxa"/>
            <w:shd w:val="clear" w:color="auto" w:fill="auto"/>
            <w:vAlign w:val="center"/>
          </w:tcPr>
          <w:p w14:paraId="30946171" w14:textId="77777777" w:rsidR="00BE60C0" w:rsidRPr="00D41ED0" w:rsidRDefault="00FB6A46" w:rsidP="00BE60C0">
            <w:pPr>
              <w:jc w:val="center"/>
              <w:rPr>
                <w:bCs/>
                <w:sz w:val="20"/>
              </w:rPr>
            </w:pPr>
            <w:r w:rsidRPr="00D41ED0">
              <w:rPr>
                <w:bCs/>
                <w:sz w:val="20"/>
              </w:rPr>
              <w:t>1</w:t>
            </w:r>
            <w:r w:rsidR="00BE60C0" w:rsidRPr="00D41ED0">
              <w:rPr>
                <w:bCs/>
                <w:sz w:val="20"/>
              </w:rPr>
              <w:t>.</w:t>
            </w:r>
          </w:p>
        </w:tc>
        <w:tc>
          <w:tcPr>
            <w:tcW w:w="1985" w:type="dxa"/>
            <w:shd w:val="clear" w:color="auto" w:fill="auto"/>
            <w:vAlign w:val="center"/>
          </w:tcPr>
          <w:p w14:paraId="476AF435" w14:textId="77777777" w:rsidR="00BE60C0" w:rsidRPr="00D41ED0" w:rsidRDefault="00BE60C0" w:rsidP="00BE60C0">
            <w:pPr>
              <w:jc w:val="center"/>
              <w:rPr>
                <w:bCs/>
                <w:sz w:val="20"/>
              </w:rPr>
            </w:pPr>
            <w:r w:rsidRPr="00D41ED0">
              <w:rPr>
                <w:bCs/>
                <w:sz w:val="20"/>
              </w:rPr>
              <w:t>Bartel Wielki</w:t>
            </w:r>
          </w:p>
        </w:tc>
        <w:tc>
          <w:tcPr>
            <w:tcW w:w="1842" w:type="dxa"/>
            <w:shd w:val="clear" w:color="auto" w:fill="auto"/>
            <w:vAlign w:val="center"/>
          </w:tcPr>
          <w:p w14:paraId="6D276C05" w14:textId="77777777" w:rsidR="00BE60C0" w:rsidRPr="00D41ED0" w:rsidRDefault="00BE60C0" w:rsidP="00BE60C0">
            <w:pPr>
              <w:jc w:val="center"/>
              <w:rPr>
                <w:bCs/>
                <w:sz w:val="20"/>
              </w:rPr>
            </w:pPr>
            <w:r w:rsidRPr="00D41ED0">
              <w:rPr>
                <w:bCs/>
                <w:sz w:val="20"/>
              </w:rPr>
              <w:t>30/6</w:t>
            </w:r>
          </w:p>
        </w:tc>
        <w:tc>
          <w:tcPr>
            <w:tcW w:w="1560" w:type="dxa"/>
            <w:shd w:val="clear" w:color="auto" w:fill="auto"/>
            <w:vAlign w:val="center"/>
          </w:tcPr>
          <w:p w14:paraId="1C67E2B2" w14:textId="77777777" w:rsidR="00BE60C0" w:rsidRPr="00D41ED0" w:rsidRDefault="00BE60C0" w:rsidP="00BE60C0">
            <w:pPr>
              <w:jc w:val="center"/>
              <w:rPr>
                <w:bCs/>
                <w:sz w:val="20"/>
              </w:rPr>
            </w:pPr>
            <w:r w:rsidRPr="00D41ED0">
              <w:rPr>
                <w:bCs/>
                <w:sz w:val="20"/>
              </w:rPr>
              <w:t>1506</w:t>
            </w:r>
          </w:p>
        </w:tc>
        <w:tc>
          <w:tcPr>
            <w:tcW w:w="2836" w:type="dxa"/>
            <w:shd w:val="clear" w:color="auto" w:fill="auto"/>
            <w:vAlign w:val="center"/>
          </w:tcPr>
          <w:p w14:paraId="58708946" w14:textId="77777777" w:rsidR="00BE60C0" w:rsidRPr="00D41ED0" w:rsidRDefault="00BE60C0" w:rsidP="00BE60C0">
            <w:pPr>
              <w:jc w:val="center"/>
              <w:rPr>
                <w:bCs/>
                <w:sz w:val="20"/>
              </w:rPr>
            </w:pPr>
            <w:r w:rsidRPr="00D41ED0">
              <w:rPr>
                <w:bCs/>
                <w:sz w:val="20"/>
              </w:rPr>
              <w:t>GD1A/00026198/9</w:t>
            </w:r>
          </w:p>
        </w:tc>
        <w:tc>
          <w:tcPr>
            <w:tcW w:w="3542" w:type="dxa"/>
            <w:shd w:val="clear" w:color="auto" w:fill="auto"/>
            <w:vAlign w:val="center"/>
          </w:tcPr>
          <w:p w14:paraId="704F2EA0" w14:textId="77777777" w:rsidR="00BE60C0" w:rsidRPr="00D41ED0" w:rsidRDefault="00BE60C0" w:rsidP="00BE60C0">
            <w:pPr>
              <w:jc w:val="center"/>
              <w:rPr>
                <w:sz w:val="20"/>
              </w:rPr>
            </w:pPr>
            <w:r w:rsidRPr="00D41ED0">
              <w:rPr>
                <w:sz w:val="20"/>
              </w:rPr>
              <w:t>4</w:t>
            </w:r>
            <w:r w:rsidR="00B253AD" w:rsidRPr="00D41ED0">
              <w:rPr>
                <w:sz w:val="20"/>
              </w:rPr>
              <w:t>8</w:t>
            </w:r>
            <w:r w:rsidRPr="00D41ED0">
              <w:rPr>
                <w:sz w:val="20"/>
              </w:rPr>
              <w:t>.</w:t>
            </w:r>
            <w:r w:rsidR="00B253AD" w:rsidRPr="00D41ED0">
              <w:rPr>
                <w:sz w:val="20"/>
              </w:rPr>
              <w:t>719</w:t>
            </w:r>
            <w:r w:rsidRPr="00D41ED0">
              <w:rPr>
                <w:sz w:val="20"/>
              </w:rPr>
              <w:t>,</w:t>
            </w:r>
            <w:r w:rsidR="00B253AD" w:rsidRPr="00D41ED0">
              <w:rPr>
                <w:sz w:val="20"/>
              </w:rPr>
              <w:t>00</w:t>
            </w:r>
          </w:p>
        </w:tc>
        <w:tc>
          <w:tcPr>
            <w:tcW w:w="1843" w:type="dxa"/>
            <w:shd w:val="clear" w:color="auto" w:fill="auto"/>
            <w:vAlign w:val="center"/>
          </w:tcPr>
          <w:p w14:paraId="28BC950E" w14:textId="77777777" w:rsidR="00BE60C0" w:rsidRPr="00D41ED0" w:rsidRDefault="000E6E52" w:rsidP="00BE60C0">
            <w:pPr>
              <w:jc w:val="center"/>
              <w:rPr>
                <w:bCs/>
                <w:sz w:val="20"/>
              </w:rPr>
            </w:pPr>
            <w:r w:rsidRPr="00D41ED0">
              <w:rPr>
                <w:bCs/>
                <w:sz w:val="20"/>
              </w:rPr>
              <w:t>4.</w:t>
            </w:r>
            <w:r w:rsidR="00B253AD" w:rsidRPr="00D41ED0">
              <w:rPr>
                <w:bCs/>
                <w:sz w:val="20"/>
              </w:rPr>
              <w:t>9</w:t>
            </w:r>
            <w:r w:rsidRPr="00D41ED0">
              <w:rPr>
                <w:bCs/>
                <w:sz w:val="20"/>
              </w:rPr>
              <w:t>00,00</w:t>
            </w:r>
          </w:p>
        </w:tc>
        <w:tc>
          <w:tcPr>
            <w:tcW w:w="2977" w:type="dxa"/>
            <w:shd w:val="clear" w:color="auto" w:fill="auto"/>
            <w:vAlign w:val="center"/>
          </w:tcPr>
          <w:p w14:paraId="65AF0756" w14:textId="77777777" w:rsidR="00BE60C0" w:rsidRPr="00D41ED0" w:rsidRDefault="005C510A" w:rsidP="00BE60C0">
            <w:pPr>
              <w:jc w:val="center"/>
              <w:rPr>
                <w:bCs/>
                <w:sz w:val="20"/>
              </w:rPr>
            </w:pPr>
            <w:r w:rsidRPr="00D41ED0">
              <w:rPr>
                <w:bCs/>
                <w:sz w:val="20"/>
              </w:rPr>
              <w:t>500,00</w:t>
            </w:r>
          </w:p>
        </w:tc>
      </w:tr>
      <w:tr w:rsidR="00B253AD" w:rsidRPr="00D41ED0" w14:paraId="0FC847EC" w14:textId="77777777" w:rsidTr="00D41ED0">
        <w:trPr>
          <w:trHeight w:val="92"/>
          <w:jc w:val="center"/>
        </w:trPr>
        <w:tc>
          <w:tcPr>
            <w:tcW w:w="704" w:type="dxa"/>
            <w:shd w:val="clear" w:color="auto" w:fill="auto"/>
            <w:vAlign w:val="center"/>
          </w:tcPr>
          <w:p w14:paraId="0E9EAD54" w14:textId="77777777" w:rsidR="00B253AD" w:rsidRPr="00D41ED0" w:rsidRDefault="00FB6A46" w:rsidP="00BE60C0">
            <w:pPr>
              <w:jc w:val="center"/>
              <w:rPr>
                <w:bCs/>
                <w:sz w:val="20"/>
              </w:rPr>
            </w:pPr>
            <w:r w:rsidRPr="00D41ED0">
              <w:rPr>
                <w:bCs/>
                <w:sz w:val="20"/>
              </w:rPr>
              <w:t>2</w:t>
            </w:r>
            <w:r w:rsidR="00B253AD" w:rsidRPr="00D41ED0">
              <w:rPr>
                <w:bCs/>
                <w:sz w:val="20"/>
              </w:rPr>
              <w:t>.</w:t>
            </w:r>
          </w:p>
        </w:tc>
        <w:tc>
          <w:tcPr>
            <w:tcW w:w="1985" w:type="dxa"/>
            <w:shd w:val="clear" w:color="auto" w:fill="auto"/>
            <w:vAlign w:val="center"/>
          </w:tcPr>
          <w:p w14:paraId="786C2529" w14:textId="77777777" w:rsidR="00B253AD" w:rsidRPr="00D41ED0" w:rsidRDefault="00B253AD" w:rsidP="00BE60C0">
            <w:pPr>
              <w:jc w:val="center"/>
              <w:rPr>
                <w:bCs/>
                <w:sz w:val="20"/>
              </w:rPr>
            </w:pPr>
            <w:r w:rsidRPr="00D41ED0">
              <w:rPr>
                <w:bCs/>
                <w:sz w:val="20"/>
              </w:rPr>
              <w:t>Bartel Wielki</w:t>
            </w:r>
          </w:p>
        </w:tc>
        <w:tc>
          <w:tcPr>
            <w:tcW w:w="1842" w:type="dxa"/>
            <w:shd w:val="clear" w:color="auto" w:fill="auto"/>
            <w:vAlign w:val="center"/>
          </w:tcPr>
          <w:p w14:paraId="67DA9831" w14:textId="77777777" w:rsidR="00B253AD" w:rsidRPr="00D41ED0" w:rsidRDefault="00B253AD" w:rsidP="00BE60C0">
            <w:pPr>
              <w:jc w:val="center"/>
              <w:rPr>
                <w:bCs/>
                <w:sz w:val="20"/>
              </w:rPr>
            </w:pPr>
            <w:r w:rsidRPr="00D41ED0">
              <w:rPr>
                <w:bCs/>
                <w:sz w:val="20"/>
              </w:rPr>
              <w:t>30/42</w:t>
            </w:r>
          </w:p>
        </w:tc>
        <w:tc>
          <w:tcPr>
            <w:tcW w:w="1560" w:type="dxa"/>
            <w:shd w:val="clear" w:color="auto" w:fill="auto"/>
            <w:vAlign w:val="center"/>
          </w:tcPr>
          <w:p w14:paraId="480D8B35" w14:textId="77777777" w:rsidR="00B253AD" w:rsidRPr="00D41ED0" w:rsidRDefault="00B253AD" w:rsidP="00BE60C0">
            <w:pPr>
              <w:jc w:val="center"/>
              <w:rPr>
                <w:bCs/>
                <w:sz w:val="20"/>
              </w:rPr>
            </w:pPr>
            <w:r w:rsidRPr="00D41ED0">
              <w:rPr>
                <w:bCs/>
                <w:sz w:val="20"/>
              </w:rPr>
              <w:t>1363</w:t>
            </w:r>
          </w:p>
        </w:tc>
        <w:tc>
          <w:tcPr>
            <w:tcW w:w="2836" w:type="dxa"/>
            <w:shd w:val="clear" w:color="auto" w:fill="auto"/>
            <w:vAlign w:val="center"/>
          </w:tcPr>
          <w:p w14:paraId="4AA25050" w14:textId="77777777" w:rsidR="00B253AD" w:rsidRPr="00D41ED0" w:rsidRDefault="00B253AD" w:rsidP="00BE60C0">
            <w:pPr>
              <w:jc w:val="center"/>
              <w:rPr>
                <w:bCs/>
                <w:sz w:val="20"/>
              </w:rPr>
            </w:pPr>
            <w:r w:rsidRPr="00D41ED0">
              <w:rPr>
                <w:bCs/>
                <w:sz w:val="20"/>
              </w:rPr>
              <w:t>GD1A/00026198/9</w:t>
            </w:r>
          </w:p>
        </w:tc>
        <w:tc>
          <w:tcPr>
            <w:tcW w:w="3542" w:type="dxa"/>
            <w:shd w:val="clear" w:color="auto" w:fill="auto"/>
            <w:vAlign w:val="center"/>
          </w:tcPr>
          <w:p w14:paraId="4FEFE1A8" w14:textId="77777777" w:rsidR="00B253AD" w:rsidRPr="00D41ED0" w:rsidRDefault="00B253AD" w:rsidP="00BE60C0">
            <w:pPr>
              <w:jc w:val="center"/>
              <w:rPr>
                <w:sz w:val="20"/>
              </w:rPr>
            </w:pPr>
            <w:r w:rsidRPr="00D41ED0">
              <w:rPr>
                <w:sz w:val="20"/>
              </w:rPr>
              <w:t>46.533,00</w:t>
            </w:r>
          </w:p>
        </w:tc>
        <w:tc>
          <w:tcPr>
            <w:tcW w:w="1843" w:type="dxa"/>
            <w:shd w:val="clear" w:color="auto" w:fill="auto"/>
            <w:vAlign w:val="center"/>
          </w:tcPr>
          <w:p w14:paraId="40B0C6A5" w14:textId="77777777" w:rsidR="00B253AD" w:rsidRPr="00D41ED0" w:rsidRDefault="00B253AD" w:rsidP="00BE60C0">
            <w:pPr>
              <w:jc w:val="center"/>
              <w:rPr>
                <w:bCs/>
                <w:sz w:val="20"/>
              </w:rPr>
            </w:pPr>
            <w:r w:rsidRPr="00D41ED0">
              <w:rPr>
                <w:bCs/>
                <w:sz w:val="20"/>
              </w:rPr>
              <w:t>4.700,00</w:t>
            </w:r>
          </w:p>
        </w:tc>
        <w:tc>
          <w:tcPr>
            <w:tcW w:w="2977" w:type="dxa"/>
            <w:shd w:val="clear" w:color="auto" w:fill="auto"/>
            <w:vAlign w:val="center"/>
          </w:tcPr>
          <w:p w14:paraId="58C16EE6" w14:textId="77777777" w:rsidR="00B253AD" w:rsidRPr="00D41ED0" w:rsidRDefault="00B253AD" w:rsidP="00BE60C0">
            <w:pPr>
              <w:jc w:val="center"/>
              <w:rPr>
                <w:bCs/>
                <w:sz w:val="20"/>
              </w:rPr>
            </w:pPr>
            <w:r w:rsidRPr="00D41ED0">
              <w:rPr>
                <w:bCs/>
                <w:sz w:val="20"/>
              </w:rPr>
              <w:t>500,00</w:t>
            </w:r>
          </w:p>
        </w:tc>
      </w:tr>
      <w:tr w:rsidR="00314B12" w:rsidRPr="00D41ED0" w14:paraId="399D2ED4" w14:textId="77777777" w:rsidTr="00D41ED0">
        <w:trPr>
          <w:trHeight w:val="92"/>
          <w:jc w:val="center"/>
        </w:trPr>
        <w:tc>
          <w:tcPr>
            <w:tcW w:w="704" w:type="dxa"/>
            <w:shd w:val="clear" w:color="auto" w:fill="auto"/>
            <w:vAlign w:val="center"/>
          </w:tcPr>
          <w:p w14:paraId="45649275" w14:textId="12AC7E48" w:rsidR="00314B12" w:rsidRPr="00D41ED0" w:rsidRDefault="009E071E" w:rsidP="00314B12">
            <w:pPr>
              <w:jc w:val="center"/>
              <w:rPr>
                <w:bCs/>
                <w:sz w:val="20"/>
              </w:rPr>
            </w:pPr>
            <w:r>
              <w:rPr>
                <w:bCs/>
                <w:sz w:val="20"/>
              </w:rPr>
              <w:t>3</w:t>
            </w:r>
            <w:r w:rsidR="00314B12" w:rsidRPr="00D41ED0">
              <w:rPr>
                <w:bCs/>
                <w:sz w:val="20"/>
              </w:rPr>
              <w:t>.</w:t>
            </w:r>
          </w:p>
        </w:tc>
        <w:tc>
          <w:tcPr>
            <w:tcW w:w="1985" w:type="dxa"/>
            <w:shd w:val="clear" w:color="auto" w:fill="auto"/>
            <w:vAlign w:val="center"/>
          </w:tcPr>
          <w:p w14:paraId="3E5373D6" w14:textId="77777777" w:rsidR="00314B12" w:rsidRPr="00D41ED0" w:rsidRDefault="00314B12" w:rsidP="00314B12">
            <w:pPr>
              <w:jc w:val="center"/>
              <w:rPr>
                <w:bCs/>
                <w:sz w:val="20"/>
              </w:rPr>
            </w:pPr>
            <w:r w:rsidRPr="00D41ED0">
              <w:rPr>
                <w:bCs/>
                <w:sz w:val="20"/>
              </w:rPr>
              <w:t>Bartel Wielki</w:t>
            </w:r>
          </w:p>
        </w:tc>
        <w:tc>
          <w:tcPr>
            <w:tcW w:w="1842" w:type="dxa"/>
            <w:shd w:val="clear" w:color="auto" w:fill="auto"/>
            <w:vAlign w:val="center"/>
          </w:tcPr>
          <w:p w14:paraId="228FB0B6" w14:textId="77777777" w:rsidR="00314B12" w:rsidRPr="00D41ED0" w:rsidRDefault="00314B12" w:rsidP="00314B12">
            <w:pPr>
              <w:jc w:val="center"/>
              <w:rPr>
                <w:bCs/>
                <w:sz w:val="20"/>
              </w:rPr>
            </w:pPr>
            <w:r w:rsidRPr="00D41ED0">
              <w:rPr>
                <w:bCs/>
                <w:sz w:val="20"/>
              </w:rPr>
              <w:t>30/11</w:t>
            </w:r>
          </w:p>
        </w:tc>
        <w:tc>
          <w:tcPr>
            <w:tcW w:w="1560" w:type="dxa"/>
            <w:shd w:val="clear" w:color="auto" w:fill="auto"/>
            <w:vAlign w:val="center"/>
          </w:tcPr>
          <w:p w14:paraId="7D7AF308" w14:textId="77777777" w:rsidR="00314B12" w:rsidRPr="00D41ED0" w:rsidRDefault="00C26C72" w:rsidP="00314B12">
            <w:pPr>
              <w:jc w:val="center"/>
              <w:rPr>
                <w:bCs/>
                <w:sz w:val="20"/>
              </w:rPr>
            </w:pPr>
            <w:r w:rsidRPr="00D41ED0">
              <w:rPr>
                <w:bCs/>
                <w:sz w:val="20"/>
              </w:rPr>
              <w:t>1085</w:t>
            </w:r>
          </w:p>
        </w:tc>
        <w:tc>
          <w:tcPr>
            <w:tcW w:w="2836" w:type="dxa"/>
            <w:shd w:val="clear" w:color="auto" w:fill="auto"/>
            <w:vAlign w:val="center"/>
          </w:tcPr>
          <w:p w14:paraId="70CA6D98" w14:textId="77777777" w:rsidR="00314B12" w:rsidRPr="00D41ED0" w:rsidRDefault="00C26C72" w:rsidP="00314B12">
            <w:pPr>
              <w:jc w:val="center"/>
              <w:rPr>
                <w:bCs/>
                <w:sz w:val="20"/>
              </w:rPr>
            </w:pPr>
            <w:r w:rsidRPr="00D41ED0">
              <w:rPr>
                <w:bCs/>
                <w:sz w:val="20"/>
              </w:rPr>
              <w:t>GD1A/00026198/9</w:t>
            </w:r>
          </w:p>
        </w:tc>
        <w:tc>
          <w:tcPr>
            <w:tcW w:w="3542" w:type="dxa"/>
            <w:shd w:val="clear" w:color="auto" w:fill="auto"/>
            <w:vAlign w:val="center"/>
          </w:tcPr>
          <w:p w14:paraId="20DB4B72" w14:textId="77777777" w:rsidR="00314B12" w:rsidRPr="00D41ED0" w:rsidRDefault="00B253AD" w:rsidP="00314B12">
            <w:pPr>
              <w:jc w:val="center"/>
              <w:rPr>
                <w:sz w:val="20"/>
              </w:rPr>
            </w:pPr>
            <w:r w:rsidRPr="00D41ED0">
              <w:rPr>
                <w:sz w:val="20"/>
              </w:rPr>
              <w:t>37.899,00</w:t>
            </w:r>
          </w:p>
        </w:tc>
        <w:tc>
          <w:tcPr>
            <w:tcW w:w="1843" w:type="dxa"/>
            <w:shd w:val="clear" w:color="auto" w:fill="auto"/>
            <w:vAlign w:val="center"/>
          </w:tcPr>
          <w:p w14:paraId="17EA0532" w14:textId="77777777" w:rsidR="00314B12" w:rsidRPr="00D41ED0" w:rsidRDefault="00C26C72" w:rsidP="00314B12">
            <w:pPr>
              <w:jc w:val="center"/>
              <w:rPr>
                <w:bCs/>
                <w:sz w:val="20"/>
              </w:rPr>
            </w:pPr>
            <w:r w:rsidRPr="00D41ED0">
              <w:rPr>
                <w:bCs/>
                <w:sz w:val="20"/>
              </w:rPr>
              <w:t>3.</w:t>
            </w:r>
            <w:r w:rsidR="00B253AD" w:rsidRPr="00D41ED0">
              <w:rPr>
                <w:bCs/>
                <w:sz w:val="20"/>
              </w:rPr>
              <w:t>8</w:t>
            </w:r>
            <w:r w:rsidRPr="00D41ED0">
              <w:rPr>
                <w:bCs/>
                <w:sz w:val="20"/>
              </w:rPr>
              <w:t>00,00</w:t>
            </w:r>
          </w:p>
        </w:tc>
        <w:tc>
          <w:tcPr>
            <w:tcW w:w="2977" w:type="dxa"/>
            <w:shd w:val="clear" w:color="auto" w:fill="auto"/>
            <w:vAlign w:val="center"/>
          </w:tcPr>
          <w:p w14:paraId="07D60C29" w14:textId="77777777" w:rsidR="00314B12" w:rsidRPr="00D41ED0" w:rsidRDefault="00C26C72" w:rsidP="00314B12">
            <w:pPr>
              <w:jc w:val="center"/>
              <w:rPr>
                <w:bCs/>
                <w:sz w:val="20"/>
              </w:rPr>
            </w:pPr>
            <w:r w:rsidRPr="00D41ED0">
              <w:rPr>
                <w:bCs/>
                <w:sz w:val="20"/>
              </w:rPr>
              <w:t>400,00</w:t>
            </w:r>
          </w:p>
        </w:tc>
      </w:tr>
      <w:tr w:rsidR="00314B12" w:rsidRPr="00D41ED0" w14:paraId="7E660B3F" w14:textId="77777777" w:rsidTr="00D41ED0">
        <w:trPr>
          <w:trHeight w:val="92"/>
          <w:jc w:val="center"/>
        </w:trPr>
        <w:tc>
          <w:tcPr>
            <w:tcW w:w="704" w:type="dxa"/>
            <w:shd w:val="clear" w:color="auto" w:fill="auto"/>
            <w:vAlign w:val="center"/>
          </w:tcPr>
          <w:p w14:paraId="5E1A3BC1" w14:textId="73827197" w:rsidR="00314B12" w:rsidRPr="00D41ED0" w:rsidRDefault="009E071E" w:rsidP="00314B12">
            <w:pPr>
              <w:jc w:val="center"/>
              <w:rPr>
                <w:bCs/>
                <w:sz w:val="20"/>
              </w:rPr>
            </w:pPr>
            <w:r>
              <w:rPr>
                <w:bCs/>
                <w:sz w:val="20"/>
              </w:rPr>
              <w:t>4</w:t>
            </w:r>
            <w:r w:rsidR="00314B12" w:rsidRPr="00D41ED0">
              <w:rPr>
                <w:bCs/>
                <w:sz w:val="20"/>
              </w:rPr>
              <w:t>.</w:t>
            </w:r>
          </w:p>
        </w:tc>
        <w:tc>
          <w:tcPr>
            <w:tcW w:w="1985" w:type="dxa"/>
            <w:shd w:val="clear" w:color="auto" w:fill="auto"/>
            <w:vAlign w:val="center"/>
          </w:tcPr>
          <w:p w14:paraId="2F73328E" w14:textId="77777777" w:rsidR="00314B12" w:rsidRPr="00D41ED0" w:rsidRDefault="00314B12" w:rsidP="00314B12">
            <w:pPr>
              <w:jc w:val="center"/>
              <w:rPr>
                <w:bCs/>
                <w:sz w:val="20"/>
              </w:rPr>
            </w:pPr>
            <w:r w:rsidRPr="00D41ED0">
              <w:rPr>
                <w:bCs/>
                <w:sz w:val="20"/>
              </w:rPr>
              <w:t>Bartel Wielki</w:t>
            </w:r>
          </w:p>
        </w:tc>
        <w:tc>
          <w:tcPr>
            <w:tcW w:w="1842" w:type="dxa"/>
            <w:shd w:val="clear" w:color="auto" w:fill="auto"/>
            <w:vAlign w:val="center"/>
          </w:tcPr>
          <w:p w14:paraId="71674A73" w14:textId="77777777" w:rsidR="00314B12" w:rsidRPr="00D41ED0" w:rsidRDefault="00314B12" w:rsidP="00314B12">
            <w:pPr>
              <w:jc w:val="center"/>
              <w:rPr>
                <w:bCs/>
                <w:sz w:val="20"/>
              </w:rPr>
            </w:pPr>
            <w:r w:rsidRPr="00D41ED0">
              <w:rPr>
                <w:bCs/>
                <w:sz w:val="20"/>
              </w:rPr>
              <w:t>30/12</w:t>
            </w:r>
          </w:p>
        </w:tc>
        <w:tc>
          <w:tcPr>
            <w:tcW w:w="1560" w:type="dxa"/>
            <w:shd w:val="clear" w:color="auto" w:fill="auto"/>
            <w:vAlign w:val="center"/>
          </w:tcPr>
          <w:p w14:paraId="22A007F4" w14:textId="77777777" w:rsidR="00314B12" w:rsidRPr="00D41ED0" w:rsidRDefault="00C26C72" w:rsidP="00314B12">
            <w:pPr>
              <w:jc w:val="center"/>
              <w:rPr>
                <w:bCs/>
                <w:sz w:val="20"/>
              </w:rPr>
            </w:pPr>
            <w:r w:rsidRPr="00D41ED0">
              <w:rPr>
                <w:bCs/>
                <w:sz w:val="20"/>
              </w:rPr>
              <w:t>1210</w:t>
            </w:r>
          </w:p>
        </w:tc>
        <w:tc>
          <w:tcPr>
            <w:tcW w:w="2836" w:type="dxa"/>
            <w:shd w:val="clear" w:color="auto" w:fill="auto"/>
            <w:vAlign w:val="center"/>
          </w:tcPr>
          <w:p w14:paraId="705DDDF3" w14:textId="77777777" w:rsidR="00314B12" w:rsidRPr="00D41ED0" w:rsidRDefault="00C26C72" w:rsidP="00314B12">
            <w:pPr>
              <w:jc w:val="center"/>
              <w:rPr>
                <w:bCs/>
                <w:sz w:val="20"/>
              </w:rPr>
            </w:pPr>
            <w:r w:rsidRPr="00D41ED0">
              <w:rPr>
                <w:bCs/>
                <w:sz w:val="20"/>
              </w:rPr>
              <w:t>GD1A/00026198/9</w:t>
            </w:r>
          </w:p>
        </w:tc>
        <w:tc>
          <w:tcPr>
            <w:tcW w:w="3542" w:type="dxa"/>
            <w:shd w:val="clear" w:color="auto" w:fill="auto"/>
            <w:vAlign w:val="center"/>
          </w:tcPr>
          <w:p w14:paraId="5C18A9F6" w14:textId="77777777" w:rsidR="00314B12" w:rsidRPr="00D41ED0" w:rsidRDefault="00B253AD" w:rsidP="00314B12">
            <w:pPr>
              <w:jc w:val="center"/>
              <w:rPr>
                <w:sz w:val="20"/>
              </w:rPr>
            </w:pPr>
            <w:r w:rsidRPr="00D41ED0">
              <w:rPr>
                <w:sz w:val="20"/>
              </w:rPr>
              <w:t>41,309,00</w:t>
            </w:r>
          </w:p>
        </w:tc>
        <w:tc>
          <w:tcPr>
            <w:tcW w:w="1843" w:type="dxa"/>
            <w:shd w:val="clear" w:color="auto" w:fill="auto"/>
            <w:vAlign w:val="center"/>
          </w:tcPr>
          <w:p w14:paraId="393D37C8" w14:textId="77777777" w:rsidR="00314B12" w:rsidRPr="00D41ED0" w:rsidRDefault="00B253AD" w:rsidP="00314B12">
            <w:pPr>
              <w:jc w:val="center"/>
              <w:rPr>
                <w:bCs/>
                <w:sz w:val="20"/>
              </w:rPr>
            </w:pPr>
            <w:r w:rsidRPr="00D41ED0">
              <w:rPr>
                <w:bCs/>
                <w:sz w:val="20"/>
              </w:rPr>
              <w:t>4</w:t>
            </w:r>
            <w:r w:rsidR="00C26C72" w:rsidRPr="00D41ED0">
              <w:rPr>
                <w:bCs/>
                <w:sz w:val="20"/>
              </w:rPr>
              <w:t>.</w:t>
            </w:r>
            <w:r w:rsidRPr="00D41ED0">
              <w:rPr>
                <w:bCs/>
                <w:sz w:val="20"/>
              </w:rPr>
              <w:t>2</w:t>
            </w:r>
            <w:r w:rsidR="00C26C72" w:rsidRPr="00D41ED0">
              <w:rPr>
                <w:bCs/>
                <w:sz w:val="20"/>
              </w:rPr>
              <w:t>00,00</w:t>
            </w:r>
          </w:p>
        </w:tc>
        <w:tc>
          <w:tcPr>
            <w:tcW w:w="2977" w:type="dxa"/>
            <w:shd w:val="clear" w:color="auto" w:fill="auto"/>
            <w:vAlign w:val="center"/>
          </w:tcPr>
          <w:p w14:paraId="7C91BF55" w14:textId="77777777" w:rsidR="00314B12" w:rsidRPr="00D41ED0" w:rsidRDefault="00B253AD" w:rsidP="00314B12">
            <w:pPr>
              <w:jc w:val="center"/>
              <w:rPr>
                <w:bCs/>
                <w:sz w:val="20"/>
              </w:rPr>
            </w:pPr>
            <w:r w:rsidRPr="00D41ED0">
              <w:rPr>
                <w:bCs/>
                <w:sz w:val="20"/>
              </w:rPr>
              <w:t>5</w:t>
            </w:r>
            <w:r w:rsidR="00C26C72" w:rsidRPr="00D41ED0">
              <w:rPr>
                <w:bCs/>
                <w:sz w:val="20"/>
              </w:rPr>
              <w:t>00,00</w:t>
            </w:r>
          </w:p>
        </w:tc>
      </w:tr>
      <w:tr w:rsidR="00314B12" w:rsidRPr="00D41ED0" w14:paraId="666F4690" w14:textId="77777777" w:rsidTr="00D41ED0">
        <w:trPr>
          <w:trHeight w:val="92"/>
          <w:jc w:val="center"/>
        </w:trPr>
        <w:tc>
          <w:tcPr>
            <w:tcW w:w="704" w:type="dxa"/>
            <w:shd w:val="clear" w:color="auto" w:fill="auto"/>
            <w:vAlign w:val="center"/>
          </w:tcPr>
          <w:p w14:paraId="6234BD37" w14:textId="0D14DA57" w:rsidR="00314B12" w:rsidRPr="00D41ED0" w:rsidRDefault="009E071E" w:rsidP="00314B12">
            <w:pPr>
              <w:jc w:val="center"/>
              <w:rPr>
                <w:bCs/>
                <w:sz w:val="20"/>
              </w:rPr>
            </w:pPr>
            <w:r>
              <w:rPr>
                <w:bCs/>
                <w:sz w:val="20"/>
              </w:rPr>
              <w:t>5</w:t>
            </w:r>
            <w:r w:rsidR="00314B12" w:rsidRPr="00D41ED0">
              <w:rPr>
                <w:bCs/>
                <w:sz w:val="20"/>
              </w:rPr>
              <w:t>.</w:t>
            </w:r>
          </w:p>
        </w:tc>
        <w:tc>
          <w:tcPr>
            <w:tcW w:w="1985" w:type="dxa"/>
            <w:shd w:val="clear" w:color="auto" w:fill="auto"/>
            <w:vAlign w:val="center"/>
          </w:tcPr>
          <w:p w14:paraId="1C4BE40A" w14:textId="77777777" w:rsidR="00314B12" w:rsidRPr="00D41ED0" w:rsidRDefault="00314B12" w:rsidP="00314B12">
            <w:pPr>
              <w:jc w:val="center"/>
              <w:rPr>
                <w:bCs/>
                <w:sz w:val="20"/>
              </w:rPr>
            </w:pPr>
            <w:r w:rsidRPr="00D41ED0">
              <w:rPr>
                <w:bCs/>
                <w:sz w:val="20"/>
              </w:rPr>
              <w:t>Bartel Wielki</w:t>
            </w:r>
          </w:p>
        </w:tc>
        <w:tc>
          <w:tcPr>
            <w:tcW w:w="1842" w:type="dxa"/>
            <w:shd w:val="clear" w:color="auto" w:fill="auto"/>
            <w:vAlign w:val="center"/>
          </w:tcPr>
          <w:p w14:paraId="26780D2E" w14:textId="77777777" w:rsidR="00314B12" w:rsidRPr="00D41ED0" w:rsidRDefault="00314B12" w:rsidP="00314B12">
            <w:pPr>
              <w:jc w:val="center"/>
              <w:rPr>
                <w:bCs/>
                <w:sz w:val="20"/>
              </w:rPr>
            </w:pPr>
            <w:r w:rsidRPr="00D41ED0">
              <w:rPr>
                <w:bCs/>
                <w:sz w:val="20"/>
              </w:rPr>
              <w:t>30/15</w:t>
            </w:r>
          </w:p>
        </w:tc>
        <w:tc>
          <w:tcPr>
            <w:tcW w:w="1560" w:type="dxa"/>
            <w:shd w:val="clear" w:color="auto" w:fill="auto"/>
            <w:vAlign w:val="center"/>
          </w:tcPr>
          <w:p w14:paraId="669E645E" w14:textId="77777777" w:rsidR="00314B12" w:rsidRPr="00D41ED0" w:rsidRDefault="00314B12" w:rsidP="00314B12">
            <w:pPr>
              <w:jc w:val="center"/>
              <w:rPr>
                <w:bCs/>
                <w:sz w:val="20"/>
              </w:rPr>
            </w:pPr>
            <w:r w:rsidRPr="00D41ED0">
              <w:rPr>
                <w:bCs/>
                <w:sz w:val="20"/>
              </w:rPr>
              <w:t>1001</w:t>
            </w:r>
          </w:p>
        </w:tc>
        <w:tc>
          <w:tcPr>
            <w:tcW w:w="2836" w:type="dxa"/>
            <w:shd w:val="clear" w:color="auto" w:fill="auto"/>
            <w:vAlign w:val="center"/>
          </w:tcPr>
          <w:p w14:paraId="657D4F00" w14:textId="77777777" w:rsidR="00314B12" w:rsidRPr="00D41ED0" w:rsidRDefault="00314B12" w:rsidP="00314B12">
            <w:pPr>
              <w:jc w:val="center"/>
              <w:rPr>
                <w:bCs/>
                <w:sz w:val="20"/>
              </w:rPr>
            </w:pPr>
            <w:r w:rsidRPr="00D41ED0">
              <w:rPr>
                <w:bCs/>
                <w:sz w:val="20"/>
              </w:rPr>
              <w:t>GD1A/00026198/9</w:t>
            </w:r>
          </w:p>
        </w:tc>
        <w:tc>
          <w:tcPr>
            <w:tcW w:w="3542" w:type="dxa"/>
            <w:shd w:val="clear" w:color="auto" w:fill="auto"/>
            <w:vAlign w:val="center"/>
          </w:tcPr>
          <w:p w14:paraId="134C9F93" w14:textId="77777777" w:rsidR="00314B12" w:rsidRPr="00D41ED0" w:rsidRDefault="00B253AD" w:rsidP="00314B12">
            <w:pPr>
              <w:jc w:val="center"/>
              <w:rPr>
                <w:sz w:val="20"/>
              </w:rPr>
            </w:pPr>
            <w:r w:rsidRPr="00D41ED0">
              <w:rPr>
                <w:sz w:val="20"/>
              </w:rPr>
              <w:t>34.164,00</w:t>
            </w:r>
          </w:p>
        </w:tc>
        <w:tc>
          <w:tcPr>
            <w:tcW w:w="1843" w:type="dxa"/>
            <w:shd w:val="clear" w:color="auto" w:fill="auto"/>
            <w:vAlign w:val="center"/>
          </w:tcPr>
          <w:p w14:paraId="7D928571" w14:textId="77777777" w:rsidR="00314B12" w:rsidRPr="00D41ED0" w:rsidRDefault="00B253AD" w:rsidP="00314B12">
            <w:pPr>
              <w:jc w:val="center"/>
              <w:rPr>
                <w:bCs/>
                <w:sz w:val="20"/>
              </w:rPr>
            </w:pPr>
            <w:r w:rsidRPr="00D41ED0">
              <w:rPr>
                <w:bCs/>
                <w:sz w:val="20"/>
              </w:rPr>
              <w:t>3</w:t>
            </w:r>
            <w:r w:rsidR="00314B12" w:rsidRPr="00D41ED0">
              <w:rPr>
                <w:bCs/>
                <w:sz w:val="20"/>
              </w:rPr>
              <w:t>.</w:t>
            </w:r>
            <w:r w:rsidRPr="00D41ED0">
              <w:rPr>
                <w:bCs/>
                <w:sz w:val="20"/>
              </w:rPr>
              <w:t>5</w:t>
            </w:r>
            <w:r w:rsidR="00314B12" w:rsidRPr="00D41ED0">
              <w:rPr>
                <w:bCs/>
                <w:sz w:val="20"/>
              </w:rPr>
              <w:t>00,00</w:t>
            </w:r>
          </w:p>
        </w:tc>
        <w:tc>
          <w:tcPr>
            <w:tcW w:w="2977" w:type="dxa"/>
            <w:shd w:val="clear" w:color="auto" w:fill="auto"/>
            <w:vAlign w:val="center"/>
          </w:tcPr>
          <w:p w14:paraId="79164558" w14:textId="77777777" w:rsidR="00314B12" w:rsidRPr="00D41ED0" w:rsidRDefault="00B253AD" w:rsidP="00314B12">
            <w:pPr>
              <w:jc w:val="center"/>
              <w:rPr>
                <w:bCs/>
                <w:sz w:val="20"/>
              </w:rPr>
            </w:pPr>
            <w:r w:rsidRPr="00D41ED0">
              <w:rPr>
                <w:bCs/>
                <w:sz w:val="20"/>
              </w:rPr>
              <w:t>4</w:t>
            </w:r>
            <w:r w:rsidR="00314B12" w:rsidRPr="00D41ED0">
              <w:rPr>
                <w:bCs/>
                <w:sz w:val="20"/>
              </w:rPr>
              <w:t>00,00</w:t>
            </w:r>
          </w:p>
        </w:tc>
      </w:tr>
      <w:tr w:rsidR="00314B12" w:rsidRPr="00D41ED0" w14:paraId="6935AF2F" w14:textId="77777777" w:rsidTr="00D41ED0">
        <w:trPr>
          <w:trHeight w:val="92"/>
          <w:jc w:val="center"/>
        </w:trPr>
        <w:tc>
          <w:tcPr>
            <w:tcW w:w="704" w:type="dxa"/>
            <w:shd w:val="clear" w:color="auto" w:fill="auto"/>
            <w:vAlign w:val="center"/>
          </w:tcPr>
          <w:p w14:paraId="55F2FD6B" w14:textId="163045A6" w:rsidR="00314B12" w:rsidRPr="00D41ED0" w:rsidRDefault="009E071E" w:rsidP="00314B12">
            <w:pPr>
              <w:jc w:val="center"/>
              <w:rPr>
                <w:bCs/>
                <w:sz w:val="20"/>
              </w:rPr>
            </w:pPr>
            <w:r>
              <w:rPr>
                <w:bCs/>
                <w:sz w:val="20"/>
              </w:rPr>
              <w:t>6</w:t>
            </w:r>
            <w:r w:rsidR="00314B12" w:rsidRPr="00D41ED0">
              <w:rPr>
                <w:bCs/>
                <w:sz w:val="20"/>
              </w:rPr>
              <w:t>.</w:t>
            </w:r>
          </w:p>
        </w:tc>
        <w:tc>
          <w:tcPr>
            <w:tcW w:w="1985" w:type="dxa"/>
            <w:shd w:val="clear" w:color="auto" w:fill="auto"/>
            <w:vAlign w:val="center"/>
          </w:tcPr>
          <w:p w14:paraId="65F0DC6B" w14:textId="77777777" w:rsidR="00314B12" w:rsidRPr="00D41ED0" w:rsidRDefault="00314B12" w:rsidP="00314B12">
            <w:pPr>
              <w:jc w:val="center"/>
              <w:rPr>
                <w:bCs/>
                <w:sz w:val="20"/>
              </w:rPr>
            </w:pPr>
            <w:r w:rsidRPr="00D41ED0">
              <w:rPr>
                <w:bCs/>
                <w:sz w:val="20"/>
              </w:rPr>
              <w:t>Bartel Wielki</w:t>
            </w:r>
          </w:p>
        </w:tc>
        <w:tc>
          <w:tcPr>
            <w:tcW w:w="1842" w:type="dxa"/>
            <w:shd w:val="clear" w:color="auto" w:fill="auto"/>
            <w:vAlign w:val="center"/>
          </w:tcPr>
          <w:p w14:paraId="6444D9F3" w14:textId="77777777" w:rsidR="00314B12" w:rsidRPr="00D41ED0" w:rsidRDefault="00314B12" w:rsidP="00314B12">
            <w:pPr>
              <w:jc w:val="center"/>
              <w:rPr>
                <w:bCs/>
                <w:sz w:val="20"/>
              </w:rPr>
            </w:pPr>
            <w:r w:rsidRPr="00D41ED0">
              <w:rPr>
                <w:bCs/>
                <w:sz w:val="20"/>
              </w:rPr>
              <w:t>30/17</w:t>
            </w:r>
          </w:p>
        </w:tc>
        <w:tc>
          <w:tcPr>
            <w:tcW w:w="1560" w:type="dxa"/>
            <w:shd w:val="clear" w:color="auto" w:fill="auto"/>
            <w:vAlign w:val="center"/>
          </w:tcPr>
          <w:p w14:paraId="406A1A64" w14:textId="77777777" w:rsidR="00314B12" w:rsidRPr="00D41ED0" w:rsidRDefault="00314B12" w:rsidP="00314B12">
            <w:pPr>
              <w:jc w:val="center"/>
              <w:rPr>
                <w:bCs/>
                <w:sz w:val="20"/>
              </w:rPr>
            </w:pPr>
            <w:r w:rsidRPr="00D41ED0">
              <w:rPr>
                <w:bCs/>
                <w:sz w:val="20"/>
              </w:rPr>
              <w:t>1401</w:t>
            </w:r>
          </w:p>
        </w:tc>
        <w:tc>
          <w:tcPr>
            <w:tcW w:w="2836" w:type="dxa"/>
            <w:shd w:val="clear" w:color="auto" w:fill="auto"/>
            <w:vAlign w:val="center"/>
          </w:tcPr>
          <w:p w14:paraId="4183435F" w14:textId="77777777" w:rsidR="00314B12" w:rsidRPr="00D41ED0" w:rsidRDefault="00314B12" w:rsidP="00314B12">
            <w:pPr>
              <w:jc w:val="center"/>
              <w:rPr>
                <w:bCs/>
                <w:sz w:val="20"/>
              </w:rPr>
            </w:pPr>
            <w:r w:rsidRPr="00D41ED0">
              <w:rPr>
                <w:bCs/>
                <w:sz w:val="20"/>
              </w:rPr>
              <w:t>GD1A/00026198/9</w:t>
            </w:r>
          </w:p>
        </w:tc>
        <w:tc>
          <w:tcPr>
            <w:tcW w:w="3542" w:type="dxa"/>
            <w:shd w:val="clear" w:color="auto" w:fill="auto"/>
            <w:vAlign w:val="center"/>
          </w:tcPr>
          <w:p w14:paraId="63BC7391" w14:textId="77777777" w:rsidR="00314B12" w:rsidRPr="00D41ED0" w:rsidRDefault="00B253AD" w:rsidP="00314B12">
            <w:pPr>
              <w:jc w:val="center"/>
              <w:rPr>
                <w:sz w:val="20"/>
              </w:rPr>
            </w:pPr>
            <w:r w:rsidRPr="00D41ED0">
              <w:rPr>
                <w:sz w:val="20"/>
              </w:rPr>
              <w:t>43.921,00</w:t>
            </w:r>
          </w:p>
        </w:tc>
        <w:tc>
          <w:tcPr>
            <w:tcW w:w="1843" w:type="dxa"/>
            <w:shd w:val="clear" w:color="auto" w:fill="auto"/>
            <w:vAlign w:val="center"/>
          </w:tcPr>
          <w:p w14:paraId="4FAA7CA2" w14:textId="77777777" w:rsidR="00314B12" w:rsidRPr="00D41ED0" w:rsidRDefault="00B253AD" w:rsidP="00314B12">
            <w:pPr>
              <w:jc w:val="center"/>
              <w:rPr>
                <w:bCs/>
                <w:sz w:val="20"/>
              </w:rPr>
            </w:pPr>
            <w:r w:rsidRPr="00D41ED0">
              <w:rPr>
                <w:bCs/>
                <w:sz w:val="20"/>
              </w:rPr>
              <w:t>4</w:t>
            </w:r>
            <w:r w:rsidR="00314B12" w:rsidRPr="00D41ED0">
              <w:rPr>
                <w:bCs/>
                <w:sz w:val="20"/>
              </w:rPr>
              <w:t>.</w:t>
            </w:r>
            <w:r w:rsidRPr="00D41ED0">
              <w:rPr>
                <w:bCs/>
                <w:sz w:val="20"/>
              </w:rPr>
              <w:t>4</w:t>
            </w:r>
            <w:r w:rsidR="00314B12" w:rsidRPr="00D41ED0">
              <w:rPr>
                <w:bCs/>
                <w:sz w:val="20"/>
              </w:rPr>
              <w:t>00,00</w:t>
            </w:r>
          </w:p>
        </w:tc>
        <w:tc>
          <w:tcPr>
            <w:tcW w:w="2977" w:type="dxa"/>
            <w:shd w:val="clear" w:color="auto" w:fill="auto"/>
            <w:vAlign w:val="center"/>
          </w:tcPr>
          <w:p w14:paraId="5A7C2F76" w14:textId="77777777" w:rsidR="00314B12" w:rsidRPr="00D41ED0" w:rsidRDefault="00B253AD" w:rsidP="00314B12">
            <w:pPr>
              <w:jc w:val="center"/>
              <w:rPr>
                <w:bCs/>
                <w:sz w:val="20"/>
              </w:rPr>
            </w:pPr>
            <w:r w:rsidRPr="00D41ED0">
              <w:rPr>
                <w:bCs/>
                <w:sz w:val="20"/>
              </w:rPr>
              <w:t>5</w:t>
            </w:r>
            <w:r w:rsidR="00314B12" w:rsidRPr="00D41ED0">
              <w:rPr>
                <w:bCs/>
                <w:sz w:val="20"/>
              </w:rPr>
              <w:t>00,00</w:t>
            </w:r>
          </w:p>
        </w:tc>
      </w:tr>
      <w:tr w:rsidR="00314B12" w:rsidRPr="00D41ED0" w14:paraId="75AF2ACF" w14:textId="77777777" w:rsidTr="00D41ED0">
        <w:trPr>
          <w:trHeight w:val="92"/>
          <w:jc w:val="center"/>
        </w:trPr>
        <w:tc>
          <w:tcPr>
            <w:tcW w:w="704" w:type="dxa"/>
            <w:shd w:val="clear" w:color="auto" w:fill="auto"/>
            <w:vAlign w:val="center"/>
          </w:tcPr>
          <w:p w14:paraId="4B8E9ECD" w14:textId="1632560E" w:rsidR="00314B12" w:rsidRPr="00D41ED0" w:rsidRDefault="009E071E" w:rsidP="00314B12">
            <w:pPr>
              <w:jc w:val="center"/>
              <w:rPr>
                <w:bCs/>
                <w:sz w:val="20"/>
              </w:rPr>
            </w:pPr>
            <w:r>
              <w:rPr>
                <w:bCs/>
                <w:sz w:val="20"/>
              </w:rPr>
              <w:t>7</w:t>
            </w:r>
            <w:r w:rsidR="00314B12" w:rsidRPr="00D41ED0">
              <w:rPr>
                <w:bCs/>
                <w:sz w:val="20"/>
              </w:rPr>
              <w:t>.</w:t>
            </w:r>
          </w:p>
        </w:tc>
        <w:tc>
          <w:tcPr>
            <w:tcW w:w="1985" w:type="dxa"/>
            <w:shd w:val="clear" w:color="auto" w:fill="auto"/>
            <w:vAlign w:val="center"/>
          </w:tcPr>
          <w:p w14:paraId="396EFA8F" w14:textId="77777777" w:rsidR="00314B12" w:rsidRPr="00D41ED0" w:rsidRDefault="00314B12" w:rsidP="00314B12">
            <w:pPr>
              <w:jc w:val="center"/>
              <w:rPr>
                <w:bCs/>
                <w:sz w:val="20"/>
              </w:rPr>
            </w:pPr>
            <w:r w:rsidRPr="00D41ED0">
              <w:rPr>
                <w:bCs/>
                <w:sz w:val="20"/>
              </w:rPr>
              <w:t>Bartel Wielki</w:t>
            </w:r>
          </w:p>
        </w:tc>
        <w:tc>
          <w:tcPr>
            <w:tcW w:w="1842" w:type="dxa"/>
            <w:shd w:val="clear" w:color="auto" w:fill="auto"/>
            <w:vAlign w:val="center"/>
          </w:tcPr>
          <w:p w14:paraId="718F22DA" w14:textId="77777777" w:rsidR="00314B12" w:rsidRPr="00D41ED0" w:rsidRDefault="00314B12" w:rsidP="00314B12">
            <w:pPr>
              <w:jc w:val="center"/>
              <w:rPr>
                <w:bCs/>
                <w:sz w:val="20"/>
              </w:rPr>
            </w:pPr>
            <w:r w:rsidRPr="00D41ED0">
              <w:rPr>
                <w:bCs/>
                <w:sz w:val="20"/>
              </w:rPr>
              <w:t>30/18</w:t>
            </w:r>
          </w:p>
        </w:tc>
        <w:tc>
          <w:tcPr>
            <w:tcW w:w="1560" w:type="dxa"/>
            <w:shd w:val="clear" w:color="auto" w:fill="auto"/>
            <w:vAlign w:val="center"/>
          </w:tcPr>
          <w:p w14:paraId="1B38FC69" w14:textId="77777777" w:rsidR="00314B12" w:rsidRPr="00D41ED0" w:rsidRDefault="00314B12" w:rsidP="00314B12">
            <w:pPr>
              <w:jc w:val="center"/>
              <w:rPr>
                <w:bCs/>
                <w:sz w:val="20"/>
              </w:rPr>
            </w:pPr>
            <w:r w:rsidRPr="00D41ED0">
              <w:rPr>
                <w:bCs/>
                <w:sz w:val="20"/>
              </w:rPr>
              <w:t>1278</w:t>
            </w:r>
          </w:p>
        </w:tc>
        <w:tc>
          <w:tcPr>
            <w:tcW w:w="2836" w:type="dxa"/>
            <w:shd w:val="clear" w:color="auto" w:fill="auto"/>
            <w:vAlign w:val="center"/>
          </w:tcPr>
          <w:p w14:paraId="7437FB51" w14:textId="77777777" w:rsidR="00314B12" w:rsidRPr="00D41ED0" w:rsidRDefault="00314B12" w:rsidP="00314B12">
            <w:pPr>
              <w:jc w:val="center"/>
              <w:rPr>
                <w:bCs/>
                <w:sz w:val="20"/>
              </w:rPr>
            </w:pPr>
            <w:r w:rsidRPr="00D41ED0">
              <w:rPr>
                <w:bCs/>
                <w:sz w:val="20"/>
              </w:rPr>
              <w:t>GD1A/00026198/9</w:t>
            </w:r>
          </w:p>
        </w:tc>
        <w:tc>
          <w:tcPr>
            <w:tcW w:w="3542" w:type="dxa"/>
            <w:shd w:val="clear" w:color="auto" w:fill="auto"/>
            <w:vAlign w:val="center"/>
          </w:tcPr>
          <w:p w14:paraId="22B154F4" w14:textId="77777777" w:rsidR="00314B12" w:rsidRPr="00D41ED0" w:rsidRDefault="00B253AD" w:rsidP="00314B12">
            <w:pPr>
              <w:jc w:val="center"/>
              <w:rPr>
                <w:sz w:val="20"/>
              </w:rPr>
            </w:pPr>
            <w:r w:rsidRPr="00D41ED0">
              <w:rPr>
                <w:sz w:val="20"/>
              </w:rPr>
              <w:t>41.088,00</w:t>
            </w:r>
          </w:p>
        </w:tc>
        <w:tc>
          <w:tcPr>
            <w:tcW w:w="1843" w:type="dxa"/>
            <w:shd w:val="clear" w:color="auto" w:fill="auto"/>
            <w:vAlign w:val="center"/>
          </w:tcPr>
          <w:p w14:paraId="0814D84E" w14:textId="77777777" w:rsidR="00314B12" w:rsidRPr="00D41ED0" w:rsidRDefault="00B253AD" w:rsidP="00314B12">
            <w:pPr>
              <w:jc w:val="center"/>
              <w:rPr>
                <w:bCs/>
                <w:sz w:val="20"/>
              </w:rPr>
            </w:pPr>
            <w:r w:rsidRPr="00D41ED0">
              <w:rPr>
                <w:bCs/>
                <w:sz w:val="20"/>
              </w:rPr>
              <w:t>4</w:t>
            </w:r>
            <w:r w:rsidR="00314B12" w:rsidRPr="00D41ED0">
              <w:rPr>
                <w:bCs/>
                <w:sz w:val="20"/>
              </w:rPr>
              <w:t>.</w:t>
            </w:r>
            <w:r w:rsidRPr="00D41ED0">
              <w:rPr>
                <w:bCs/>
                <w:sz w:val="20"/>
              </w:rPr>
              <w:t>2</w:t>
            </w:r>
            <w:r w:rsidR="00314B12" w:rsidRPr="00D41ED0">
              <w:rPr>
                <w:bCs/>
                <w:sz w:val="20"/>
              </w:rPr>
              <w:t>00,00</w:t>
            </w:r>
          </w:p>
        </w:tc>
        <w:tc>
          <w:tcPr>
            <w:tcW w:w="2977" w:type="dxa"/>
            <w:shd w:val="clear" w:color="auto" w:fill="auto"/>
            <w:vAlign w:val="center"/>
          </w:tcPr>
          <w:p w14:paraId="22BADCA3" w14:textId="77777777" w:rsidR="00314B12" w:rsidRPr="00D41ED0" w:rsidRDefault="00B253AD" w:rsidP="00314B12">
            <w:pPr>
              <w:jc w:val="center"/>
              <w:rPr>
                <w:bCs/>
                <w:sz w:val="20"/>
              </w:rPr>
            </w:pPr>
            <w:r w:rsidRPr="00D41ED0">
              <w:rPr>
                <w:bCs/>
                <w:sz w:val="20"/>
              </w:rPr>
              <w:t>5</w:t>
            </w:r>
            <w:r w:rsidR="00314B12" w:rsidRPr="00D41ED0">
              <w:rPr>
                <w:bCs/>
                <w:sz w:val="20"/>
              </w:rPr>
              <w:t>00,00</w:t>
            </w:r>
          </w:p>
        </w:tc>
      </w:tr>
    </w:tbl>
    <w:p w14:paraId="0456689D" w14:textId="77777777" w:rsidR="00FB34E4" w:rsidRPr="00D41ED0" w:rsidRDefault="00FB34E4" w:rsidP="00FB34E4">
      <w:pPr>
        <w:jc w:val="both"/>
        <w:rPr>
          <w:bCs/>
          <w:sz w:val="20"/>
        </w:rPr>
      </w:pPr>
    </w:p>
    <w:p w14:paraId="21267D0B" w14:textId="6756AED2" w:rsidR="00117329" w:rsidRPr="00496D8A" w:rsidRDefault="00117329" w:rsidP="00FB34E4">
      <w:pPr>
        <w:jc w:val="both"/>
        <w:rPr>
          <w:bCs/>
          <w:sz w:val="16"/>
          <w:szCs w:val="16"/>
        </w:rPr>
      </w:pPr>
    </w:p>
    <w:p w14:paraId="3FF3EFF0" w14:textId="77777777" w:rsidR="00D41ED0" w:rsidRDefault="00D41ED0" w:rsidP="00D41ED0">
      <w:pPr>
        <w:pStyle w:val="Akapitzlist"/>
        <w:numPr>
          <w:ilvl w:val="0"/>
          <w:numId w:val="6"/>
        </w:numPr>
        <w:jc w:val="both"/>
        <w:rPr>
          <w:b/>
          <w:sz w:val="20"/>
        </w:rPr>
      </w:pPr>
      <w:r w:rsidRPr="00731C03">
        <w:rPr>
          <w:b/>
          <w:sz w:val="20"/>
        </w:rPr>
        <w:t>Opis nieruchomości i obciążenia:</w:t>
      </w:r>
    </w:p>
    <w:p w14:paraId="0C489A24" w14:textId="77777777" w:rsidR="00D41ED0" w:rsidRPr="00731C03" w:rsidRDefault="00D41ED0" w:rsidP="00D41ED0">
      <w:pPr>
        <w:pStyle w:val="Akapitzlist"/>
        <w:jc w:val="both"/>
        <w:rPr>
          <w:b/>
          <w:sz w:val="20"/>
        </w:rPr>
      </w:pPr>
    </w:p>
    <w:p w14:paraId="584E0349" w14:textId="77777777" w:rsidR="00D41ED0" w:rsidRPr="0089211E" w:rsidRDefault="00D41ED0" w:rsidP="00D41ED0">
      <w:pPr>
        <w:pStyle w:val="Akapitzlist"/>
        <w:numPr>
          <w:ilvl w:val="0"/>
          <w:numId w:val="7"/>
        </w:numPr>
        <w:jc w:val="both"/>
        <w:rPr>
          <w:bCs/>
          <w:sz w:val="20"/>
        </w:rPr>
      </w:pPr>
      <w:r w:rsidRPr="0089211E">
        <w:rPr>
          <w:bCs/>
          <w:sz w:val="20"/>
        </w:rPr>
        <w:t>Teren zabudowy mieszkaniowej jednorodzinnej lub usługowej zgodnie z Uchwałą nr XXIV/186/2016 Rady Gminy Kaliska z dnia 31 sierpnia 2016 r. w sprawie uchwalenia miejscowego planu zagospodarowania przestrzennego dla obszaru w miejscowości Bartel Wielki, obręb Bartel Wielki.</w:t>
      </w:r>
    </w:p>
    <w:p w14:paraId="43E0E7CD" w14:textId="77777777" w:rsidR="00D41ED0" w:rsidRPr="0089211E" w:rsidRDefault="00D41ED0" w:rsidP="00D41ED0">
      <w:pPr>
        <w:pStyle w:val="Akapitzlist"/>
        <w:numPr>
          <w:ilvl w:val="0"/>
          <w:numId w:val="7"/>
        </w:numPr>
        <w:jc w:val="both"/>
        <w:rPr>
          <w:bCs/>
          <w:sz w:val="20"/>
        </w:rPr>
      </w:pPr>
      <w:r w:rsidRPr="0089211E">
        <w:rPr>
          <w:bCs/>
          <w:sz w:val="20"/>
        </w:rPr>
        <w:t>Wyżej wymieniona nieruchomość nie jest obciążona hipotecznie.</w:t>
      </w:r>
    </w:p>
    <w:p w14:paraId="2311FCB5" w14:textId="28E491C9" w:rsidR="00D41ED0" w:rsidRPr="00E31C05" w:rsidRDefault="00D41ED0" w:rsidP="00E31C05">
      <w:pPr>
        <w:pStyle w:val="Akapitzlist"/>
        <w:numPr>
          <w:ilvl w:val="0"/>
          <w:numId w:val="7"/>
        </w:numPr>
        <w:jc w:val="both"/>
        <w:rPr>
          <w:bCs/>
          <w:sz w:val="20"/>
        </w:rPr>
      </w:pPr>
      <w:r w:rsidRPr="0089211E">
        <w:rPr>
          <w:bCs/>
          <w:sz w:val="20"/>
        </w:rPr>
        <w:t>Do wylicytowanej  ceny  zostanie  doliczony  podatek VAT  w  wysokości  23 %.</w:t>
      </w:r>
    </w:p>
    <w:p w14:paraId="041873D7" w14:textId="77777777" w:rsidR="00D41ED0" w:rsidRDefault="00D41ED0" w:rsidP="00D41ED0">
      <w:pPr>
        <w:jc w:val="both"/>
        <w:rPr>
          <w:bCs/>
          <w:sz w:val="20"/>
        </w:rPr>
      </w:pPr>
    </w:p>
    <w:p w14:paraId="3920A88B" w14:textId="77777777" w:rsidR="00D41ED0" w:rsidRDefault="00D41ED0" w:rsidP="00D41ED0">
      <w:pPr>
        <w:pStyle w:val="Akapitzlist"/>
        <w:numPr>
          <w:ilvl w:val="0"/>
          <w:numId w:val="6"/>
        </w:numPr>
        <w:jc w:val="both"/>
        <w:rPr>
          <w:b/>
          <w:sz w:val="20"/>
        </w:rPr>
      </w:pPr>
      <w:r w:rsidRPr="00D416A6">
        <w:rPr>
          <w:b/>
          <w:sz w:val="20"/>
        </w:rPr>
        <w:t>Prawa i obowiązki uczestnika przetargu</w:t>
      </w:r>
      <w:r>
        <w:rPr>
          <w:b/>
          <w:sz w:val="20"/>
        </w:rPr>
        <w:t>:</w:t>
      </w:r>
    </w:p>
    <w:p w14:paraId="34EEA122" w14:textId="77777777" w:rsidR="00D41ED0" w:rsidRDefault="00D41ED0" w:rsidP="00D41ED0">
      <w:pPr>
        <w:pStyle w:val="Akapitzlist"/>
        <w:jc w:val="both"/>
        <w:rPr>
          <w:b/>
          <w:sz w:val="20"/>
        </w:rPr>
      </w:pPr>
    </w:p>
    <w:p w14:paraId="41A85783" w14:textId="77777777" w:rsidR="00D41ED0" w:rsidRPr="00834BE8" w:rsidRDefault="00D41ED0" w:rsidP="00D41ED0">
      <w:pPr>
        <w:pStyle w:val="Akapitzlist"/>
        <w:widowControl/>
        <w:numPr>
          <w:ilvl w:val="0"/>
          <w:numId w:val="8"/>
        </w:numPr>
        <w:suppressAutoHyphens w:val="0"/>
        <w:jc w:val="both"/>
        <w:rPr>
          <w:rFonts w:eastAsia="Times New Roman"/>
          <w:sz w:val="20"/>
          <w:lang w:eastAsia="pl-PL"/>
        </w:rPr>
      </w:pPr>
      <w:r w:rsidRPr="00834BE8">
        <w:rPr>
          <w:rFonts w:eastAsia="Times New Roman"/>
          <w:sz w:val="20"/>
          <w:lang w:eastAsia="pl-PL"/>
        </w:rPr>
        <w:t>Uczestnik przetargu winien:</w:t>
      </w:r>
    </w:p>
    <w:p w14:paraId="72322556" w14:textId="77777777" w:rsidR="00D41ED0" w:rsidRDefault="00D41ED0" w:rsidP="00D41ED0">
      <w:pPr>
        <w:pStyle w:val="Akapitzlist"/>
        <w:widowControl/>
        <w:numPr>
          <w:ilvl w:val="0"/>
          <w:numId w:val="9"/>
        </w:numPr>
        <w:suppressAutoHyphens w:val="0"/>
        <w:jc w:val="both"/>
        <w:rPr>
          <w:rFonts w:eastAsia="Times New Roman"/>
          <w:sz w:val="20"/>
          <w:lang w:eastAsia="pl-PL"/>
        </w:rPr>
      </w:pPr>
      <w:r w:rsidRPr="00834BE8">
        <w:rPr>
          <w:rFonts w:eastAsia="Times New Roman"/>
          <w:sz w:val="20"/>
          <w:lang w:eastAsia="pl-PL"/>
        </w:rPr>
        <w:t>Zapoznać się z przedmiotem przetargu - Uczestnicy przetargu składają</w:t>
      </w:r>
      <w:r w:rsidRPr="00834BE8">
        <w:rPr>
          <w:sz w:val="20"/>
        </w:rPr>
        <w:t xml:space="preserve"> do Urzędu Gminy Kaliska </w:t>
      </w:r>
      <w:r w:rsidRPr="00834BE8">
        <w:rPr>
          <w:rFonts w:eastAsia="Times New Roman"/>
          <w:sz w:val="20"/>
          <w:lang w:eastAsia="pl-PL"/>
        </w:rPr>
        <w:t xml:space="preserve"> pisemne zgłoszenie udziału w przetargu (załącznik nr 1) i oświadczenie z numerem konta, bankowego na które ma być zwracane wadium w przypadku negatywnego wyniku przetargu (załącznik nr 2) najpóźniej do</w:t>
      </w:r>
      <w:r w:rsidRPr="00834BE8">
        <w:rPr>
          <w:sz w:val="20"/>
        </w:rPr>
        <w:t xml:space="preserve"> wyznaczonego</w:t>
      </w:r>
      <w:r w:rsidRPr="00834BE8">
        <w:rPr>
          <w:rFonts w:eastAsia="Times New Roman"/>
          <w:sz w:val="20"/>
          <w:lang w:eastAsia="pl-PL"/>
        </w:rPr>
        <w:t xml:space="preserve"> dnia wpłaty wadium.</w:t>
      </w:r>
    </w:p>
    <w:p w14:paraId="08CF51E7" w14:textId="77777777" w:rsidR="00D41ED0" w:rsidRDefault="00D41ED0" w:rsidP="00D41ED0">
      <w:pPr>
        <w:pStyle w:val="Akapitzlist"/>
        <w:widowControl/>
        <w:numPr>
          <w:ilvl w:val="0"/>
          <w:numId w:val="9"/>
        </w:numPr>
        <w:suppressAutoHyphens w:val="0"/>
        <w:jc w:val="both"/>
        <w:rPr>
          <w:rFonts w:eastAsia="Times New Roman"/>
          <w:sz w:val="20"/>
          <w:lang w:eastAsia="pl-PL"/>
        </w:rPr>
      </w:pPr>
      <w:r w:rsidRPr="00D416A6">
        <w:rPr>
          <w:rFonts w:eastAsia="Times New Roman"/>
          <w:sz w:val="20"/>
          <w:lang w:eastAsia="pl-PL"/>
        </w:rPr>
        <w:t>Posiadać w dniu przetargu ważny dokument stwierdzający tożsamość.</w:t>
      </w:r>
    </w:p>
    <w:p w14:paraId="1485AF90" w14:textId="77777777" w:rsidR="00D41ED0" w:rsidRDefault="00D41ED0" w:rsidP="00D41ED0">
      <w:pPr>
        <w:pStyle w:val="Akapitzlist"/>
        <w:widowControl/>
        <w:numPr>
          <w:ilvl w:val="0"/>
          <w:numId w:val="9"/>
        </w:numPr>
        <w:suppressAutoHyphens w:val="0"/>
        <w:jc w:val="both"/>
        <w:rPr>
          <w:rFonts w:eastAsia="Times New Roman"/>
          <w:sz w:val="20"/>
          <w:lang w:eastAsia="pl-PL"/>
        </w:rPr>
      </w:pPr>
      <w:r w:rsidRPr="00D416A6">
        <w:rPr>
          <w:rFonts w:eastAsia="Times New Roman"/>
          <w:sz w:val="20"/>
          <w:lang w:eastAsia="pl-PL"/>
        </w:rPr>
        <w:t>Przedłożyć – w przypadku osób fizycznych zamierzających nabyć nieruchomość w związku z prowadzoną działalnością gospodarczą – aktualne zaświadczenie o wpisie do Centralnej Ewidencji i Informacji o Działalności Gospodarczej RP lub stosowny wydruk z Centralnej Ewidencji i Informacji o Działalności Gospodarczej.</w:t>
      </w:r>
    </w:p>
    <w:p w14:paraId="67ACD3F8" w14:textId="77777777" w:rsidR="00D41ED0" w:rsidRDefault="00D41ED0" w:rsidP="00D41ED0">
      <w:pPr>
        <w:pStyle w:val="Akapitzlist"/>
        <w:widowControl/>
        <w:numPr>
          <w:ilvl w:val="0"/>
          <w:numId w:val="9"/>
        </w:numPr>
        <w:suppressAutoHyphens w:val="0"/>
        <w:jc w:val="both"/>
        <w:rPr>
          <w:rFonts w:eastAsia="Times New Roman"/>
          <w:sz w:val="20"/>
          <w:lang w:eastAsia="pl-PL"/>
        </w:rPr>
      </w:pPr>
      <w:r w:rsidRPr="00D416A6">
        <w:rPr>
          <w:rFonts w:eastAsia="Times New Roman"/>
          <w:sz w:val="20"/>
          <w:lang w:eastAsia="pl-PL"/>
        </w:rPr>
        <w:t>Przedłożyć – w przypadku osób prawnych oraz innych podmiotów nie posiadających osobowości prawnej a podlegających rejestracji – aktualny odpis z Krajowego rejestru Sądowego bądź aktualną informację z Centralnej Informacji Krajowego Rejestru Sądowego oraz właściwe pełnomocnictwa osób reprezentujących podmiot.</w:t>
      </w:r>
    </w:p>
    <w:p w14:paraId="6C4CB4D2" w14:textId="77777777" w:rsidR="00D41ED0" w:rsidRPr="00D416A6" w:rsidRDefault="00D41ED0" w:rsidP="00D41ED0">
      <w:pPr>
        <w:pStyle w:val="Akapitzlist"/>
        <w:widowControl/>
        <w:numPr>
          <w:ilvl w:val="0"/>
          <w:numId w:val="9"/>
        </w:numPr>
        <w:suppressAutoHyphens w:val="0"/>
        <w:jc w:val="both"/>
        <w:rPr>
          <w:rFonts w:eastAsia="Times New Roman"/>
          <w:sz w:val="20"/>
          <w:lang w:eastAsia="pl-PL"/>
        </w:rPr>
      </w:pPr>
      <w:r w:rsidRPr="00D416A6">
        <w:rPr>
          <w:rFonts w:eastAsia="Times New Roman"/>
          <w:sz w:val="20"/>
          <w:lang w:eastAsia="pl-PL"/>
        </w:rPr>
        <w:t>Przedłożyć – w przypadku wspólników spółki cywilnej – umowę spółki wraz z aktualnymi zaświadczeniami o wpisie do Centralnej Ewidencji i Informacji o Działalności Gospodarczej RP lub stosowne wydruki z Centralnej Ewidencji i Informacji o Działalności Gospodarczej.</w:t>
      </w:r>
    </w:p>
    <w:p w14:paraId="55C1D36D" w14:textId="77777777" w:rsidR="00D41ED0" w:rsidRPr="00834BE8" w:rsidRDefault="00D41ED0" w:rsidP="00D41ED0">
      <w:pPr>
        <w:pStyle w:val="Akapitzlist"/>
        <w:widowControl/>
        <w:numPr>
          <w:ilvl w:val="0"/>
          <w:numId w:val="8"/>
        </w:numPr>
        <w:suppressAutoHyphens w:val="0"/>
        <w:jc w:val="both"/>
        <w:rPr>
          <w:rFonts w:eastAsia="Times New Roman"/>
          <w:sz w:val="20"/>
          <w:lang w:eastAsia="pl-PL"/>
        </w:rPr>
      </w:pPr>
      <w:r w:rsidRPr="00834BE8">
        <w:rPr>
          <w:rFonts w:eastAsia="Times New Roman"/>
          <w:sz w:val="20"/>
          <w:lang w:eastAsia="pl-PL"/>
        </w:rPr>
        <w:t>Uczestnicy biorą udział w przetargu osobiście lub przez pełnomocnika. W przypadku osób fizycznych pozostających w związku małżeńskim (w tym prowadzących działalność gospodarczą) nieposiadających rozdzielności majątkowej do dokonywania czynności przetargowych konieczna jest obecność obojga małżonków lub jednego z nich z pełnomocnictwem małżonka zawierającym zgodę na odpłatne nabycie nieruchomości.</w:t>
      </w:r>
    </w:p>
    <w:p w14:paraId="07D8CF3F" w14:textId="77777777" w:rsidR="00D41ED0" w:rsidRPr="00834BE8" w:rsidRDefault="00D41ED0" w:rsidP="00D41ED0">
      <w:pPr>
        <w:pStyle w:val="Akapitzlist"/>
        <w:widowControl/>
        <w:numPr>
          <w:ilvl w:val="0"/>
          <w:numId w:val="8"/>
        </w:numPr>
        <w:suppressAutoHyphens w:val="0"/>
        <w:jc w:val="both"/>
        <w:rPr>
          <w:rFonts w:eastAsia="Times New Roman"/>
          <w:sz w:val="20"/>
          <w:lang w:eastAsia="pl-PL"/>
        </w:rPr>
      </w:pPr>
      <w:r w:rsidRPr="00834BE8">
        <w:rPr>
          <w:rFonts w:eastAsia="Times New Roman"/>
          <w:sz w:val="20"/>
          <w:lang w:eastAsia="pl-PL"/>
        </w:rPr>
        <w:t>Nabycie nieruchomości przez cudzoziemców może nastąpić w przypadku uzyskania zezwolenia Ministra Spraw Wewnętrznych i Administracji, jeżeli wymagają tego przepisy ustawy z dnia 24 marca 1920 r. o nabywaniu nieruchomości przez cudzoziemców (t.j. Dz. U. z 2018 r., poz. 2278 ze zm.). Nabywca zobowiązany jest do ustalenia, we własnym zakresie, czy nabycie nieruchomości będącej przedmiotem przetargu wymaga zezwolenia, o którym mowa powyżej.</w:t>
      </w:r>
    </w:p>
    <w:p w14:paraId="239364C7" w14:textId="11997536" w:rsidR="00D41ED0" w:rsidRPr="00834BE8" w:rsidRDefault="00D41ED0" w:rsidP="00D41ED0">
      <w:pPr>
        <w:pStyle w:val="Akapitzlist"/>
        <w:widowControl/>
        <w:numPr>
          <w:ilvl w:val="0"/>
          <w:numId w:val="8"/>
        </w:numPr>
        <w:suppressAutoHyphens w:val="0"/>
        <w:jc w:val="both"/>
        <w:rPr>
          <w:rFonts w:eastAsia="Times New Roman"/>
          <w:b/>
          <w:bCs/>
          <w:sz w:val="20"/>
          <w:lang w:eastAsia="pl-PL"/>
        </w:rPr>
      </w:pPr>
      <w:r w:rsidRPr="00834BE8">
        <w:rPr>
          <w:rFonts w:eastAsia="Times New Roman"/>
          <w:sz w:val="20"/>
          <w:lang w:eastAsia="pl-PL"/>
        </w:rPr>
        <w:t xml:space="preserve">Dokumenty opisane w punktach </w:t>
      </w:r>
      <w:r>
        <w:rPr>
          <w:rFonts w:eastAsia="Times New Roman"/>
          <w:sz w:val="20"/>
          <w:lang w:eastAsia="pl-PL"/>
        </w:rPr>
        <w:t>c)-e)</w:t>
      </w:r>
      <w:r w:rsidRPr="00834BE8">
        <w:rPr>
          <w:rFonts w:eastAsia="Times New Roman"/>
          <w:sz w:val="20"/>
          <w:lang w:eastAsia="pl-PL"/>
        </w:rPr>
        <w:t xml:space="preserve"> oraz właściwe pełnomocnictwa winny być dostarczone </w:t>
      </w:r>
      <w:r w:rsidRPr="00834BE8">
        <w:rPr>
          <w:rFonts w:eastAsia="Times New Roman"/>
          <w:b/>
          <w:bCs/>
          <w:color w:val="000000" w:themeColor="text1"/>
          <w:sz w:val="20"/>
          <w:lang w:eastAsia="pl-PL"/>
        </w:rPr>
        <w:t>najpóźniej</w:t>
      </w:r>
      <w:r w:rsidRPr="00834BE8">
        <w:rPr>
          <w:rFonts w:eastAsia="Times New Roman"/>
          <w:sz w:val="20"/>
          <w:lang w:eastAsia="pl-PL"/>
        </w:rPr>
        <w:t xml:space="preserve"> </w:t>
      </w:r>
      <w:r w:rsidRPr="00834BE8">
        <w:rPr>
          <w:rFonts w:eastAsia="Times New Roman"/>
          <w:b/>
          <w:bCs/>
          <w:sz w:val="20"/>
          <w:lang w:eastAsia="pl-PL"/>
        </w:rPr>
        <w:t xml:space="preserve">do dnia </w:t>
      </w:r>
      <w:r>
        <w:rPr>
          <w:rFonts w:eastAsia="Times New Roman"/>
          <w:b/>
          <w:bCs/>
          <w:sz w:val="20"/>
          <w:lang w:eastAsia="pl-PL"/>
        </w:rPr>
        <w:t>2</w:t>
      </w:r>
      <w:r w:rsidR="00BD5858">
        <w:rPr>
          <w:rFonts w:eastAsia="Times New Roman"/>
          <w:b/>
          <w:bCs/>
          <w:sz w:val="20"/>
          <w:lang w:eastAsia="pl-PL"/>
        </w:rPr>
        <w:t>4</w:t>
      </w:r>
      <w:r w:rsidRPr="00834BE8">
        <w:rPr>
          <w:rFonts w:eastAsia="Times New Roman"/>
          <w:b/>
          <w:bCs/>
          <w:sz w:val="20"/>
          <w:lang w:eastAsia="pl-PL"/>
        </w:rPr>
        <w:t>.</w:t>
      </w:r>
      <w:r w:rsidR="00BD5858">
        <w:rPr>
          <w:rFonts w:eastAsia="Times New Roman"/>
          <w:b/>
          <w:bCs/>
          <w:sz w:val="20"/>
          <w:lang w:eastAsia="pl-PL"/>
        </w:rPr>
        <w:t>12</w:t>
      </w:r>
      <w:r w:rsidRPr="00834BE8">
        <w:rPr>
          <w:rFonts w:eastAsia="Times New Roman"/>
          <w:b/>
          <w:bCs/>
          <w:sz w:val="20"/>
          <w:lang w:eastAsia="pl-PL"/>
        </w:rPr>
        <w:t xml:space="preserve">.2020 r. do sekretariatu Urzędu Gminy Kaliska przy ul. Nowowiejskiej 2. Osoby, które nie dostarczą dokumentów w terminie do </w:t>
      </w:r>
      <w:r>
        <w:rPr>
          <w:rFonts w:eastAsia="Times New Roman"/>
          <w:b/>
          <w:bCs/>
          <w:sz w:val="20"/>
          <w:lang w:eastAsia="pl-PL"/>
        </w:rPr>
        <w:t>2</w:t>
      </w:r>
      <w:r w:rsidR="00BD5858">
        <w:rPr>
          <w:rFonts w:eastAsia="Times New Roman"/>
          <w:b/>
          <w:bCs/>
          <w:sz w:val="20"/>
          <w:lang w:eastAsia="pl-PL"/>
        </w:rPr>
        <w:t>4</w:t>
      </w:r>
      <w:r w:rsidRPr="00834BE8">
        <w:rPr>
          <w:rFonts w:eastAsia="Times New Roman"/>
          <w:b/>
          <w:bCs/>
          <w:sz w:val="20"/>
          <w:lang w:eastAsia="pl-PL"/>
        </w:rPr>
        <w:t>.</w:t>
      </w:r>
      <w:r w:rsidR="00BD5858">
        <w:rPr>
          <w:rFonts w:eastAsia="Times New Roman"/>
          <w:b/>
          <w:bCs/>
          <w:sz w:val="20"/>
          <w:lang w:eastAsia="pl-PL"/>
        </w:rPr>
        <w:t>12</w:t>
      </w:r>
      <w:r w:rsidRPr="00834BE8">
        <w:rPr>
          <w:rFonts w:eastAsia="Times New Roman"/>
          <w:b/>
          <w:bCs/>
          <w:sz w:val="20"/>
          <w:lang w:eastAsia="pl-PL"/>
        </w:rPr>
        <w:t>.2020 r., nie zostaną dopuszczone do uczestnictwa w przetargu.</w:t>
      </w:r>
    </w:p>
    <w:p w14:paraId="688DE54E" w14:textId="189A9401" w:rsidR="00D41ED0" w:rsidRPr="00834BE8" w:rsidRDefault="00D41ED0" w:rsidP="00D41ED0">
      <w:pPr>
        <w:pStyle w:val="Akapitzlist"/>
        <w:numPr>
          <w:ilvl w:val="0"/>
          <w:numId w:val="8"/>
        </w:numPr>
        <w:jc w:val="both"/>
        <w:rPr>
          <w:bCs/>
          <w:sz w:val="20"/>
        </w:rPr>
      </w:pPr>
      <w:r w:rsidRPr="00834BE8">
        <w:rPr>
          <w:bCs/>
          <w:sz w:val="20"/>
        </w:rPr>
        <w:t xml:space="preserve">Warunkiem uczestnictwa w przetargu jest wpłacenie wadium </w:t>
      </w:r>
      <w:r w:rsidRPr="00834BE8">
        <w:rPr>
          <w:bCs/>
          <w:color w:val="000000" w:themeColor="text1"/>
          <w:sz w:val="20"/>
        </w:rPr>
        <w:t>w pieniądzu z oznaczeniem nieruchomości, której dotyczy</w:t>
      </w:r>
      <w:r w:rsidRPr="00834BE8">
        <w:rPr>
          <w:bCs/>
          <w:sz w:val="20"/>
        </w:rPr>
        <w:t>,</w:t>
      </w:r>
      <w:r w:rsidRPr="00834BE8">
        <w:rPr>
          <w:sz w:val="20"/>
        </w:rPr>
        <w:t xml:space="preserve"> na  konto Gminy Kaliska Bank Spółdzielczy w Skórczu Oddział w Kaliskach, Nr rachunku </w:t>
      </w:r>
      <w:r w:rsidRPr="00834BE8">
        <w:rPr>
          <w:b/>
          <w:sz w:val="20"/>
        </w:rPr>
        <w:t xml:space="preserve">51 8342 0009 4000 0127 2000 0005, w terminie do  </w:t>
      </w:r>
      <w:r>
        <w:rPr>
          <w:b/>
          <w:sz w:val="20"/>
        </w:rPr>
        <w:t>2</w:t>
      </w:r>
      <w:r w:rsidR="00BD5858">
        <w:rPr>
          <w:b/>
          <w:sz w:val="20"/>
        </w:rPr>
        <w:t>4</w:t>
      </w:r>
      <w:r w:rsidRPr="00834BE8">
        <w:rPr>
          <w:b/>
          <w:sz w:val="20"/>
        </w:rPr>
        <w:t>.</w:t>
      </w:r>
      <w:r w:rsidR="00BD5858">
        <w:rPr>
          <w:b/>
          <w:sz w:val="20"/>
        </w:rPr>
        <w:t>12</w:t>
      </w:r>
      <w:r w:rsidRPr="00834BE8">
        <w:rPr>
          <w:b/>
          <w:sz w:val="20"/>
        </w:rPr>
        <w:t xml:space="preserve">.2020 roku </w:t>
      </w:r>
      <w:r w:rsidRPr="00834BE8">
        <w:rPr>
          <w:sz w:val="20"/>
        </w:rPr>
        <w:t xml:space="preserve"> oraz  okazanie komisji przetargowej. Za dzień wniesienia wadium uważa się datę wpływu środków pieniężnych na konto Gminy Kaliska. </w:t>
      </w:r>
    </w:p>
    <w:p w14:paraId="26A2D853" w14:textId="77777777" w:rsidR="00D41ED0" w:rsidRDefault="00D41ED0" w:rsidP="00D41ED0">
      <w:pPr>
        <w:pStyle w:val="Akapitzlist"/>
        <w:widowControl/>
        <w:numPr>
          <w:ilvl w:val="0"/>
          <w:numId w:val="8"/>
        </w:numPr>
        <w:suppressAutoHyphens w:val="0"/>
        <w:jc w:val="both"/>
        <w:rPr>
          <w:rFonts w:eastAsia="Times New Roman"/>
          <w:sz w:val="20"/>
          <w:lang w:eastAsia="pl-PL"/>
        </w:rPr>
      </w:pPr>
      <w:r w:rsidRPr="00834BE8">
        <w:rPr>
          <w:rFonts w:eastAsia="Times New Roman"/>
          <w:b/>
          <w:bCs/>
          <w:sz w:val="20"/>
          <w:lang w:eastAsia="pl-PL"/>
        </w:rPr>
        <w:t>Wadium wpłacone przez uczestnika przetargu</w:t>
      </w:r>
      <w:r w:rsidRPr="00834BE8">
        <w:rPr>
          <w:rFonts w:eastAsia="Times New Roman"/>
          <w:sz w:val="20"/>
          <w:lang w:eastAsia="pl-PL"/>
        </w:rPr>
        <w:t>, który przetarg wygrał zalicza się na poczet opłaty za nabycie prawa własności budynku. Pozostałym uczestnikom przetargu wadia zwraca się niezwłocznie, po uprzedniej, pisemnej dyspozycji wpłacającego. Wypłata wadium nastąpi na wskazane konto.</w:t>
      </w:r>
    </w:p>
    <w:p w14:paraId="5051ACB6" w14:textId="77777777" w:rsidR="00D41ED0" w:rsidRDefault="00D41ED0" w:rsidP="00D41ED0">
      <w:pPr>
        <w:widowControl/>
        <w:suppressAutoHyphens w:val="0"/>
        <w:jc w:val="both"/>
        <w:rPr>
          <w:rFonts w:eastAsia="Times New Roman"/>
          <w:sz w:val="20"/>
          <w:lang w:eastAsia="pl-PL"/>
        </w:rPr>
      </w:pPr>
    </w:p>
    <w:p w14:paraId="685BA3AC" w14:textId="77777777" w:rsidR="00D41ED0" w:rsidRDefault="00D41ED0" w:rsidP="00D41ED0">
      <w:pPr>
        <w:pStyle w:val="Akapitzlist"/>
        <w:widowControl/>
        <w:numPr>
          <w:ilvl w:val="0"/>
          <w:numId w:val="10"/>
        </w:numPr>
        <w:suppressAutoHyphens w:val="0"/>
        <w:jc w:val="both"/>
        <w:rPr>
          <w:rFonts w:eastAsia="Times New Roman"/>
          <w:b/>
          <w:bCs/>
          <w:sz w:val="20"/>
          <w:lang w:eastAsia="pl-PL"/>
        </w:rPr>
      </w:pPr>
      <w:r w:rsidRPr="007872E1">
        <w:rPr>
          <w:rFonts w:eastAsia="Times New Roman"/>
          <w:b/>
          <w:bCs/>
          <w:sz w:val="20"/>
          <w:lang w:eastAsia="pl-PL"/>
        </w:rPr>
        <w:t>Prawa i obowiązki Nabywcy nieruchomości:</w:t>
      </w:r>
    </w:p>
    <w:p w14:paraId="1EA2EA5C" w14:textId="77777777" w:rsidR="00D41ED0" w:rsidRPr="007872E1" w:rsidRDefault="00D41ED0" w:rsidP="00D41ED0">
      <w:pPr>
        <w:pStyle w:val="Akapitzlist"/>
        <w:widowControl/>
        <w:suppressAutoHyphens w:val="0"/>
        <w:jc w:val="both"/>
        <w:rPr>
          <w:rFonts w:eastAsia="Times New Roman"/>
          <w:b/>
          <w:bCs/>
          <w:sz w:val="20"/>
          <w:lang w:eastAsia="pl-PL"/>
        </w:rPr>
      </w:pPr>
    </w:p>
    <w:p w14:paraId="6B057BF9" w14:textId="77777777" w:rsidR="00D41ED0"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rFonts w:eastAsia="Times New Roman"/>
          <w:sz w:val="20"/>
          <w:lang w:eastAsia="pl-PL"/>
        </w:rPr>
        <w:t xml:space="preserve">Nabywca nieruchomości ustalony w przetargu zobowiązany jest dokonać zapłaty </w:t>
      </w:r>
      <w:r>
        <w:rPr>
          <w:rFonts w:eastAsia="Times New Roman"/>
          <w:sz w:val="20"/>
          <w:lang w:eastAsia="pl-PL"/>
        </w:rPr>
        <w:t xml:space="preserve">pozostałej kwoty </w:t>
      </w:r>
      <w:r w:rsidRPr="007872E1">
        <w:rPr>
          <w:rFonts w:eastAsia="Times New Roman"/>
          <w:sz w:val="20"/>
          <w:lang w:eastAsia="pl-PL"/>
        </w:rPr>
        <w:t xml:space="preserve">nie później niż na dzień przed wyznaczoną datą zawarcia umowy </w:t>
      </w:r>
      <w:r>
        <w:rPr>
          <w:rFonts w:eastAsia="Times New Roman"/>
          <w:sz w:val="20"/>
          <w:lang w:eastAsia="pl-PL"/>
        </w:rPr>
        <w:t>sprzedaży</w:t>
      </w:r>
      <w:r w:rsidRPr="007872E1">
        <w:rPr>
          <w:rFonts w:eastAsia="Times New Roman"/>
          <w:sz w:val="20"/>
          <w:lang w:eastAsia="pl-PL"/>
        </w:rPr>
        <w:t xml:space="preserve"> na konto Gminy Kaliska wskazane w protokole z przetargu. Datą dokonania wpłaty jest data uznania rachunku bankowego Gminy.</w:t>
      </w:r>
    </w:p>
    <w:p w14:paraId="4C71F445" w14:textId="345C4A28" w:rsidR="00D41ED0" w:rsidRPr="007872E1"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b/>
          <w:bCs/>
          <w:sz w:val="20"/>
        </w:rPr>
        <w:t xml:space="preserve">Przetarg odbędzie się  </w:t>
      </w:r>
      <w:r w:rsidR="00BD5858">
        <w:rPr>
          <w:b/>
          <w:bCs/>
          <w:sz w:val="20"/>
        </w:rPr>
        <w:t>30</w:t>
      </w:r>
      <w:r w:rsidRPr="007872E1">
        <w:rPr>
          <w:b/>
          <w:bCs/>
          <w:sz w:val="20"/>
        </w:rPr>
        <w:t>.</w:t>
      </w:r>
      <w:r w:rsidR="00BD5858">
        <w:rPr>
          <w:b/>
          <w:bCs/>
          <w:sz w:val="20"/>
        </w:rPr>
        <w:t>12</w:t>
      </w:r>
      <w:r w:rsidRPr="007872E1">
        <w:rPr>
          <w:b/>
          <w:bCs/>
          <w:sz w:val="20"/>
        </w:rPr>
        <w:t>.2020  roku  o godz. 1</w:t>
      </w:r>
      <w:r w:rsidR="00BD5858">
        <w:rPr>
          <w:b/>
          <w:bCs/>
          <w:sz w:val="20"/>
        </w:rPr>
        <w:t>4</w:t>
      </w:r>
      <w:r w:rsidRPr="007872E1">
        <w:rPr>
          <w:b/>
          <w:bCs/>
          <w:sz w:val="20"/>
        </w:rPr>
        <w:t>.00 w Urzędzie Gminy Kaliska ul. Nowowiejska 2 w sali narad.</w:t>
      </w:r>
      <w:r w:rsidRPr="007872E1">
        <w:rPr>
          <w:noProof/>
          <w:sz w:val="20"/>
        </w:rPr>
        <w:t xml:space="preserve"> </w:t>
      </w:r>
    </w:p>
    <w:p w14:paraId="4AB4DBCC" w14:textId="77777777" w:rsidR="00D41ED0" w:rsidRPr="007872E1"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sz w:val="20"/>
        </w:rPr>
        <w:t>W terminie 21 dni od daty rozstrzygnięcia przetargu organizator przetargu obowiązany jest zawiadomić osobę ustaloną, jako nabywcę nieruchomości, o miejscu i terminie zawarcia umowy sprzedaży.</w:t>
      </w:r>
    </w:p>
    <w:p w14:paraId="17610E0F" w14:textId="77777777" w:rsidR="00D41ED0" w:rsidRPr="007872E1"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sz w:val="20"/>
        </w:rPr>
        <w:t xml:space="preserve">Koszty aktu notarialnego oraz opłat sądowych związanych z zawarciem umowy </w:t>
      </w:r>
      <w:r>
        <w:rPr>
          <w:sz w:val="20"/>
        </w:rPr>
        <w:t>sprzedaży</w:t>
      </w:r>
      <w:r w:rsidRPr="007872E1">
        <w:rPr>
          <w:sz w:val="20"/>
        </w:rPr>
        <w:t xml:space="preserve"> ponosi nabywca nieruchomości. Koszty te nie są ujęte w cenie nabycia prawa </w:t>
      </w:r>
      <w:r>
        <w:rPr>
          <w:sz w:val="20"/>
        </w:rPr>
        <w:t>własności</w:t>
      </w:r>
      <w:r w:rsidRPr="007872E1">
        <w:rPr>
          <w:sz w:val="20"/>
        </w:rPr>
        <w:t xml:space="preserve"> nieruchomości gruntowe</w:t>
      </w:r>
      <w:r>
        <w:rPr>
          <w:sz w:val="20"/>
        </w:rPr>
        <w:t>j</w:t>
      </w:r>
      <w:r w:rsidRPr="007872E1">
        <w:rPr>
          <w:sz w:val="20"/>
        </w:rPr>
        <w:t>.</w:t>
      </w:r>
    </w:p>
    <w:p w14:paraId="01650CFA" w14:textId="77777777" w:rsidR="00D41ED0" w:rsidRPr="007872E1"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sz w:val="20"/>
        </w:rPr>
        <w:t>Jeżeli osoba ustalona jako nabywca nieruchomości nie stawi się bez usprawiedliwienia w miejscu i w terminie podanym w  zawiadomieniu, organizator przetargu może odstąpić od zawarcia umowy, a wpłacone wadium nie podlega zwrotowi.</w:t>
      </w:r>
    </w:p>
    <w:p w14:paraId="1CAF76CA" w14:textId="77777777" w:rsidR="00D41ED0" w:rsidRPr="007872E1"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sz w:val="20"/>
        </w:rPr>
        <w:t>Nabywca nabywa nieruchomość w stanie istniejącym. Odpowiedzialność Sprzedającego ze wady nieruchomości zostaje wyłączona w najszerszym zakresie dopuszczalnym przez powszechnie obowiązujące przepisy.</w:t>
      </w:r>
    </w:p>
    <w:p w14:paraId="126CDE0E" w14:textId="77777777" w:rsidR="00D41ED0" w:rsidRPr="007872E1"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sz w:val="20"/>
        </w:rPr>
        <w:t>Korzystanie z wszelkich urządzeń infrastruktury komunalnej i technicznej wymaga uzgodnienia z dysponentami sieci i obciąża całkowicie nabywcę nieruchomości. Istniejące na nieruchomości urządzenia infrastruktury technicznej i komunalnej mogą być wykorzystywane przez nabywcę wyłącznie na warunkach określonych przez dysponenta tych urządzeń.</w:t>
      </w:r>
    </w:p>
    <w:p w14:paraId="758F86AD" w14:textId="77777777" w:rsidR="00D41ED0" w:rsidRPr="007872E1"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sz w:val="20"/>
        </w:rPr>
        <w:t>W przypadku, gdy przebiegające sieci i urządzenia występujące na nieruchomości kolidują z realizacją zamierzonej inwestycji nabywca zobowiązany jest do ich przełożenia własnym kosztem i staraniem w uzgodnieniu z jednostkami branżowymi i właścicielami sieci.</w:t>
      </w:r>
    </w:p>
    <w:p w14:paraId="1E2E9D43" w14:textId="77777777" w:rsidR="00D41ED0" w:rsidRPr="007872E1"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sz w:val="20"/>
        </w:rPr>
        <w:t>Po nabyciu nieruchomości nabywca zobowiązany jest do złożenia w Referacie Finansowym Urzędu Gminy Kaliska deklaracji w zakresie podatku od nieruchomości.</w:t>
      </w:r>
    </w:p>
    <w:p w14:paraId="7D53DFB0" w14:textId="77777777" w:rsidR="00D41ED0" w:rsidRPr="0089211E" w:rsidRDefault="00D41ED0" w:rsidP="00D41ED0">
      <w:pPr>
        <w:pStyle w:val="Akapitzlist"/>
        <w:widowControl/>
        <w:numPr>
          <w:ilvl w:val="0"/>
          <w:numId w:val="11"/>
        </w:numPr>
        <w:suppressAutoHyphens w:val="0"/>
        <w:ind w:left="1418"/>
        <w:jc w:val="both"/>
        <w:rPr>
          <w:rFonts w:eastAsia="Times New Roman"/>
          <w:sz w:val="20"/>
          <w:lang w:eastAsia="pl-PL"/>
        </w:rPr>
      </w:pPr>
      <w:r w:rsidRPr="007872E1">
        <w:rPr>
          <w:sz w:val="20"/>
        </w:rPr>
        <w:t>Wójt Gminy Kaliska może odwołać przetarg z ważnych powodów, niezwłocznie podając informację o odwołaniu przetargu do publicznej wiadomości, poprzez wywieszenie w siedzibie Urzędu Gminy Kaliska oraz zamieszczenie ogłoszenia w Biuletynie Informacji Publicznej Gminy Kaliska podając przyczynę odwołania przetargu</w:t>
      </w:r>
      <w:r>
        <w:rPr>
          <w:sz w:val="20"/>
        </w:rPr>
        <w:t>.</w:t>
      </w:r>
    </w:p>
    <w:p w14:paraId="15B966AA" w14:textId="77777777" w:rsidR="00D41ED0" w:rsidRPr="0089211E" w:rsidRDefault="00D41ED0" w:rsidP="00D41ED0">
      <w:pPr>
        <w:widowControl/>
        <w:suppressAutoHyphens w:val="0"/>
        <w:jc w:val="both"/>
        <w:rPr>
          <w:rFonts w:eastAsia="Times New Roman"/>
          <w:sz w:val="20"/>
          <w:lang w:eastAsia="pl-PL"/>
        </w:rPr>
      </w:pPr>
    </w:p>
    <w:p w14:paraId="04A447D3" w14:textId="77777777" w:rsidR="00D41ED0" w:rsidRPr="007872E1" w:rsidRDefault="00D41ED0" w:rsidP="00D41ED0">
      <w:pPr>
        <w:pStyle w:val="NormalnyWeb"/>
        <w:numPr>
          <w:ilvl w:val="0"/>
          <w:numId w:val="12"/>
        </w:numPr>
        <w:jc w:val="both"/>
        <w:rPr>
          <w:b/>
          <w:bCs/>
          <w:sz w:val="20"/>
          <w:szCs w:val="20"/>
        </w:rPr>
      </w:pPr>
      <w:r w:rsidRPr="007872E1">
        <w:rPr>
          <w:b/>
          <w:bCs/>
          <w:sz w:val="20"/>
          <w:szCs w:val="20"/>
        </w:rPr>
        <w:lastRenderedPageBreak/>
        <w:t>Pozostałe</w:t>
      </w:r>
      <w:r>
        <w:rPr>
          <w:b/>
          <w:bCs/>
          <w:sz w:val="20"/>
          <w:szCs w:val="20"/>
        </w:rPr>
        <w:t xml:space="preserve"> </w:t>
      </w:r>
      <w:r w:rsidRPr="007872E1">
        <w:rPr>
          <w:b/>
          <w:bCs/>
          <w:sz w:val="20"/>
          <w:szCs w:val="20"/>
        </w:rPr>
        <w:t>informacje</w:t>
      </w:r>
      <w:r>
        <w:rPr>
          <w:b/>
          <w:bCs/>
          <w:sz w:val="20"/>
          <w:szCs w:val="20"/>
        </w:rPr>
        <w:t>:</w:t>
      </w:r>
    </w:p>
    <w:p w14:paraId="2D6428BE" w14:textId="77777777" w:rsidR="00D41ED0" w:rsidRPr="00834BE8" w:rsidRDefault="00D41ED0" w:rsidP="00D41ED0">
      <w:pPr>
        <w:pStyle w:val="Akapitzlist"/>
        <w:numPr>
          <w:ilvl w:val="0"/>
          <w:numId w:val="13"/>
        </w:numPr>
        <w:jc w:val="both"/>
        <w:rPr>
          <w:bCs/>
          <w:sz w:val="20"/>
        </w:rPr>
      </w:pPr>
      <w:r w:rsidRPr="00834BE8">
        <w:rPr>
          <w:sz w:val="20"/>
        </w:rPr>
        <w:t>Cena nieruchomości nie zawiera kosztów wznowienia znaków granicznych działek, w granicach których nieruchomość jest położona. W przypadku ewentualnej potrzeby okazania granic nabywca ustali warunki tego okazania z wybranym przez siebie geodetą. Okazanie granic nastąpi na koszt nabywcy.</w:t>
      </w:r>
    </w:p>
    <w:p w14:paraId="767BD89D" w14:textId="07ABFD07" w:rsidR="00D41ED0" w:rsidRPr="008B377E" w:rsidRDefault="00D41ED0" w:rsidP="00D41ED0">
      <w:pPr>
        <w:pStyle w:val="Akapitzlist"/>
        <w:numPr>
          <w:ilvl w:val="0"/>
          <w:numId w:val="13"/>
        </w:numPr>
        <w:jc w:val="both"/>
        <w:rPr>
          <w:bCs/>
          <w:sz w:val="20"/>
        </w:rPr>
      </w:pPr>
      <w:r w:rsidRPr="00834BE8">
        <w:rPr>
          <w:sz w:val="20"/>
        </w:rPr>
        <w:t>Istniejący na działce drzewostan podlega ochronie zgodnie z przepisami ustawy z dnia 16 kwietnia 2004 r. o ochronie przyrody (t.j. Dz. U. z 2020 r., poz. 55)</w:t>
      </w:r>
      <w:r>
        <w:rPr>
          <w:sz w:val="20"/>
        </w:rPr>
        <w:t>.</w:t>
      </w:r>
    </w:p>
    <w:p w14:paraId="6C16B6CE" w14:textId="32B8FB86" w:rsidR="008B377E" w:rsidRPr="003C0406" w:rsidRDefault="008B377E" w:rsidP="008B377E">
      <w:pPr>
        <w:pStyle w:val="Akapitzlist"/>
        <w:numPr>
          <w:ilvl w:val="0"/>
          <w:numId w:val="13"/>
        </w:numPr>
        <w:jc w:val="both"/>
        <w:rPr>
          <w:sz w:val="20"/>
        </w:rPr>
      </w:pPr>
      <w:r w:rsidRPr="003C0406">
        <w:rPr>
          <w:sz w:val="20"/>
        </w:rPr>
        <w:t>I przetarg w dniu 05.12.2019 r., II przetarg w dniu 16.04.2020 r. zakończyły się wynikiem negatywnym, w III przetargu sprzedano działki nr 30/13 i 30/24 obręb Bartel Wielki</w:t>
      </w:r>
      <w:r w:rsidR="00BD5858">
        <w:rPr>
          <w:sz w:val="20"/>
        </w:rPr>
        <w:t xml:space="preserve">, </w:t>
      </w:r>
      <w:r w:rsidR="00BD5858" w:rsidRPr="003C0406">
        <w:rPr>
          <w:sz w:val="20"/>
        </w:rPr>
        <w:t>w I</w:t>
      </w:r>
      <w:r w:rsidR="00BD5858">
        <w:rPr>
          <w:sz w:val="20"/>
        </w:rPr>
        <w:t>V</w:t>
      </w:r>
      <w:r w:rsidR="00BD5858" w:rsidRPr="003C0406">
        <w:rPr>
          <w:sz w:val="20"/>
        </w:rPr>
        <w:t xml:space="preserve"> przetargu </w:t>
      </w:r>
      <w:r w:rsidR="00BD5858">
        <w:rPr>
          <w:sz w:val="20"/>
        </w:rPr>
        <w:t xml:space="preserve">w dniu 02.09.2020 r. </w:t>
      </w:r>
      <w:r w:rsidR="00BD5858" w:rsidRPr="003C0406">
        <w:rPr>
          <w:sz w:val="20"/>
        </w:rPr>
        <w:t>sprzedano działki nr 30/</w:t>
      </w:r>
      <w:r w:rsidR="00BD5858">
        <w:rPr>
          <w:sz w:val="20"/>
        </w:rPr>
        <w:t>9, 30/23</w:t>
      </w:r>
      <w:r w:rsidR="00BD5858" w:rsidRPr="003C0406">
        <w:rPr>
          <w:sz w:val="20"/>
        </w:rPr>
        <w:t xml:space="preserve"> i 30/</w:t>
      </w:r>
      <w:r w:rsidR="00BD5858">
        <w:rPr>
          <w:sz w:val="20"/>
        </w:rPr>
        <w:t>4</w:t>
      </w:r>
      <w:r w:rsidR="00BD5858" w:rsidRPr="003C0406">
        <w:rPr>
          <w:sz w:val="20"/>
        </w:rPr>
        <w:t>4 obręb Bartel Wielki.</w:t>
      </w:r>
    </w:p>
    <w:p w14:paraId="0831E5D7" w14:textId="7CC84BB3" w:rsidR="00D41ED0" w:rsidRPr="00834BE8" w:rsidRDefault="00D41ED0" w:rsidP="00D41ED0">
      <w:pPr>
        <w:pStyle w:val="Akapitzlist"/>
        <w:numPr>
          <w:ilvl w:val="0"/>
          <w:numId w:val="13"/>
        </w:numPr>
        <w:jc w:val="both"/>
        <w:rPr>
          <w:bCs/>
          <w:sz w:val="20"/>
        </w:rPr>
      </w:pPr>
      <w:r w:rsidRPr="00834BE8">
        <w:rPr>
          <w:sz w:val="20"/>
        </w:rPr>
        <w:t xml:space="preserve">Przetarg zgodny z ustawą z dnia 21 sierpnia 1997 r. o gospodarce nieruchomościami (t.j. Dz. U. z 2020 r., poz. </w:t>
      </w:r>
      <w:r w:rsidR="00BD5858">
        <w:rPr>
          <w:sz w:val="20"/>
        </w:rPr>
        <w:t>1990</w:t>
      </w:r>
      <w:r w:rsidRPr="00834BE8">
        <w:rPr>
          <w:sz w:val="20"/>
        </w:rPr>
        <w:t>) oraz  Rozporządzeniem Rady Ministrów z dnia 14 września 2004 r. w sprawie sposobu i trybu przeprowadzania przetargów oraz rokowań na zbycie nieruchomości (Dz. U. z  2004 r. Nr 207, poz. 2108).</w:t>
      </w:r>
    </w:p>
    <w:p w14:paraId="7D4B24AC" w14:textId="7FE46727" w:rsidR="00D41ED0" w:rsidRPr="00834BE8" w:rsidRDefault="00D41ED0" w:rsidP="00D41ED0">
      <w:pPr>
        <w:pStyle w:val="Akapitzlist"/>
        <w:numPr>
          <w:ilvl w:val="0"/>
          <w:numId w:val="13"/>
        </w:numPr>
        <w:jc w:val="both"/>
        <w:rPr>
          <w:bCs/>
          <w:sz w:val="20"/>
        </w:rPr>
      </w:pPr>
      <w:r w:rsidRPr="00834BE8">
        <w:rPr>
          <w:sz w:val="20"/>
        </w:rPr>
        <w:t xml:space="preserve">W 6-tygodniowym terminie wyznaczonym w wykazie nieruchomości przeznaczonych do zbycia, nie wpłynęły  żadne wnioski od osób, którym przysługuje pierwszeństwo w ich nabyciu na podstawie art. 34 ust. 1 pkt 1 i pkt 2 ustawy o gospodarce nieruchomościami (t.j. Dz. U. z 2020 r., poz. </w:t>
      </w:r>
      <w:r w:rsidR="00BD5858">
        <w:rPr>
          <w:sz w:val="20"/>
        </w:rPr>
        <w:t>1990</w:t>
      </w:r>
      <w:r w:rsidRPr="00834BE8">
        <w:rPr>
          <w:sz w:val="20"/>
        </w:rPr>
        <w:t>)</w:t>
      </w:r>
    </w:p>
    <w:p w14:paraId="46CAC3D5" w14:textId="77777777" w:rsidR="00D41ED0" w:rsidRPr="00834BE8" w:rsidRDefault="00D41ED0" w:rsidP="00D41ED0">
      <w:pPr>
        <w:pStyle w:val="Akapitzlist"/>
        <w:numPr>
          <w:ilvl w:val="0"/>
          <w:numId w:val="13"/>
        </w:numPr>
        <w:jc w:val="both"/>
        <w:rPr>
          <w:bCs/>
          <w:sz w:val="20"/>
        </w:rPr>
      </w:pPr>
      <w:r w:rsidRPr="00834BE8">
        <w:rPr>
          <w:sz w:val="20"/>
        </w:rPr>
        <w:t xml:space="preserve">Dodatkowe informacje na temat przetargu można uzyskać w Urzędzie Gminy w Kaliskach ul. Nowowiejska 2, 83-260 Kaliska pokój Nr 1 w godzinach pracy urzędu, pod numerem telefonu (58) 58-89-201 wew. 533 oraz na stronach internetowych   </w:t>
      </w:r>
      <w:hyperlink r:id="rId7" w:history="1">
        <w:r w:rsidRPr="00834BE8">
          <w:rPr>
            <w:rStyle w:val="Hipercze"/>
            <w:bCs/>
            <w:sz w:val="20"/>
          </w:rPr>
          <w:t>www.bip.kaliska.pl</w:t>
        </w:r>
      </w:hyperlink>
      <w:r w:rsidRPr="00834BE8">
        <w:rPr>
          <w:bCs/>
          <w:sz w:val="20"/>
        </w:rPr>
        <w:t xml:space="preserve"> ,  </w:t>
      </w:r>
      <w:hyperlink r:id="rId8" w:history="1">
        <w:r w:rsidRPr="00834BE8">
          <w:rPr>
            <w:rStyle w:val="Hipercze"/>
            <w:bCs/>
            <w:sz w:val="20"/>
          </w:rPr>
          <w:t>www.kaliska.pl</w:t>
        </w:r>
      </w:hyperlink>
    </w:p>
    <w:p w14:paraId="1593E180" w14:textId="4723F7D9" w:rsidR="00762341" w:rsidRDefault="00762341" w:rsidP="00FC65D9">
      <w:pPr>
        <w:ind w:left="540"/>
        <w:rPr>
          <w:bCs/>
          <w:sz w:val="18"/>
          <w:szCs w:val="18"/>
        </w:rPr>
      </w:pPr>
      <w:r>
        <w:rPr>
          <w:rFonts w:ascii="Arial" w:hAnsi="Arial" w:cs="Arial"/>
          <w:bCs/>
          <w:sz w:val="20"/>
        </w:rPr>
        <w:t xml:space="preserve">   </w:t>
      </w:r>
      <w:r>
        <w:rPr>
          <w:bCs/>
          <w:sz w:val="18"/>
          <w:szCs w:val="18"/>
        </w:rPr>
        <w:t xml:space="preserve">                                                                                                                                        </w:t>
      </w:r>
    </w:p>
    <w:p w14:paraId="3292FE62" w14:textId="4BBC2E95" w:rsidR="006067F7" w:rsidRDefault="006067F7" w:rsidP="00D41ED0">
      <w:pPr>
        <w:ind w:left="540"/>
        <w:rPr>
          <w:bCs/>
          <w:sz w:val="18"/>
          <w:szCs w:val="18"/>
        </w:rPr>
      </w:pPr>
      <w:r>
        <w:rPr>
          <w:bCs/>
          <w:sz w:val="18"/>
          <w:szCs w:val="18"/>
        </w:rPr>
        <w:t xml:space="preserve">                                                                                                                                                </w:t>
      </w:r>
      <w:r w:rsidR="00705012">
        <w:rPr>
          <w:bCs/>
          <w:sz w:val="18"/>
          <w:szCs w:val="18"/>
        </w:rPr>
        <w:t xml:space="preserve">                </w:t>
      </w:r>
    </w:p>
    <w:p w14:paraId="5D479633" w14:textId="77777777" w:rsidR="00D41ED0" w:rsidRPr="0089211E" w:rsidRDefault="006067F7" w:rsidP="00D41ED0">
      <w:pPr>
        <w:ind w:left="540"/>
        <w:rPr>
          <w:bCs/>
          <w:sz w:val="20"/>
        </w:rPr>
      </w:pPr>
      <w:r>
        <w:rPr>
          <w:bCs/>
          <w:sz w:val="18"/>
          <w:szCs w:val="18"/>
        </w:rPr>
        <w:t xml:space="preserve">               </w:t>
      </w:r>
      <w:r w:rsidR="00D41ED0" w:rsidRPr="0089211E">
        <w:rPr>
          <w:bCs/>
          <w:sz w:val="20"/>
        </w:rPr>
        <w:t xml:space="preserve">                                                                                                                                                                                                                                                     </w:t>
      </w:r>
      <w:r w:rsidR="00D41ED0">
        <w:rPr>
          <w:bCs/>
          <w:sz w:val="20"/>
        </w:rPr>
        <w:t xml:space="preserve">                                                               </w:t>
      </w:r>
      <w:r w:rsidR="00D41ED0" w:rsidRPr="0089211E">
        <w:rPr>
          <w:bCs/>
          <w:sz w:val="20"/>
        </w:rPr>
        <w:t xml:space="preserve"> Wójt Gminy Kaliska</w:t>
      </w:r>
    </w:p>
    <w:p w14:paraId="1E5A0416" w14:textId="77777777" w:rsidR="00D41ED0" w:rsidRPr="0089211E" w:rsidRDefault="00D41ED0" w:rsidP="00D41ED0">
      <w:pPr>
        <w:ind w:left="7080"/>
        <w:rPr>
          <w:bCs/>
          <w:sz w:val="20"/>
        </w:rPr>
      </w:pPr>
      <w:r>
        <w:rPr>
          <w:bCs/>
          <w:sz w:val="20"/>
        </w:rPr>
        <w:t xml:space="preserve">      </w:t>
      </w:r>
    </w:p>
    <w:p w14:paraId="7E5B867F" w14:textId="734D1785" w:rsidR="00D41ED0" w:rsidRPr="0089211E" w:rsidRDefault="00D41ED0" w:rsidP="00D41ED0">
      <w:pPr>
        <w:ind w:left="540"/>
        <w:rPr>
          <w:bCs/>
          <w:sz w:val="20"/>
        </w:rPr>
      </w:pPr>
      <w:r>
        <w:rPr>
          <w:bCs/>
          <w:sz w:val="20"/>
        </w:rPr>
        <w:t xml:space="preserve">                                                                                                                                                                                                                                                                                                                                      </w:t>
      </w:r>
      <w:r w:rsidRPr="0089211E">
        <w:rPr>
          <w:bCs/>
          <w:sz w:val="20"/>
        </w:rPr>
        <w:t>Sławomir Janicki</w:t>
      </w:r>
    </w:p>
    <w:p w14:paraId="1843B36B" w14:textId="3255CE1A" w:rsidR="00D41ED0" w:rsidRPr="0089211E" w:rsidRDefault="00D41ED0" w:rsidP="00D41ED0">
      <w:pPr>
        <w:ind w:left="540"/>
        <w:rPr>
          <w:bCs/>
          <w:sz w:val="20"/>
        </w:rPr>
      </w:pPr>
      <w:r w:rsidRPr="0089211E">
        <w:rPr>
          <w:bCs/>
          <w:sz w:val="20"/>
        </w:rPr>
        <w:t xml:space="preserve">                                                                                                                                                         </w:t>
      </w:r>
    </w:p>
    <w:p w14:paraId="5199F3A5" w14:textId="265C7DEF" w:rsidR="00762341" w:rsidRPr="00E31C05" w:rsidRDefault="006067F7" w:rsidP="00E31C05">
      <w:pPr>
        <w:ind w:left="540"/>
        <w:rPr>
          <w:bCs/>
          <w:sz w:val="18"/>
          <w:szCs w:val="18"/>
        </w:rPr>
      </w:pPr>
      <w:r>
        <w:rPr>
          <w:bCs/>
          <w:sz w:val="18"/>
          <w:szCs w:val="18"/>
        </w:rPr>
        <w:t xml:space="preserve">                                                                                                                                  </w:t>
      </w:r>
      <w:r w:rsidR="00DB78A1">
        <w:rPr>
          <w:bCs/>
          <w:sz w:val="18"/>
          <w:szCs w:val="18"/>
        </w:rPr>
        <w:t xml:space="preserve">     </w:t>
      </w:r>
      <w:r>
        <w:rPr>
          <w:bCs/>
          <w:sz w:val="18"/>
          <w:szCs w:val="18"/>
        </w:rPr>
        <w:t xml:space="preserve"> </w:t>
      </w:r>
      <w:r w:rsidR="00705012">
        <w:rPr>
          <w:bCs/>
          <w:sz w:val="18"/>
          <w:szCs w:val="18"/>
        </w:rPr>
        <w:t xml:space="preserve">  </w:t>
      </w:r>
    </w:p>
    <w:p w14:paraId="1A24E81F" w14:textId="5849695F" w:rsidR="00762341" w:rsidRDefault="00762341">
      <w:r>
        <w:t xml:space="preserve"> </w:t>
      </w:r>
      <w:r w:rsidR="003E7AD7">
        <w:t xml:space="preserve">   </w:t>
      </w:r>
      <w:r w:rsidR="00F36670">
        <w:t xml:space="preserve">     </w:t>
      </w:r>
    </w:p>
    <w:p w14:paraId="14E9A550" w14:textId="0A1BA7F6" w:rsidR="00762341" w:rsidRDefault="00762341"/>
    <w:p w14:paraId="62779C71" w14:textId="77180C4E" w:rsidR="00762341" w:rsidRDefault="00762341"/>
    <w:p w14:paraId="21B9859A" w14:textId="67EAED8A" w:rsidR="00762341" w:rsidRDefault="000E4676">
      <w:r w:rsidRPr="000E4676">
        <w:drawing>
          <wp:anchor distT="0" distB="0" distL="114300" distR="114300" simplePos="0" relativeHeight="251661312" behindDoc="0" locked="0" layoutInCell="1" allowOverlap="1" wp14:anchorId="3AA7B4FA" wp14:editId="66B212C9">
            <wp:simplePos x="0" y="0"/>
            <wp:positionH relativeFrom="column">
              <wp:posOffset>-197485</wp:posOffset>
            </wp:positionH>
            <wp:positionV relativeFrom="paragraph">
              <wp:posOffset>205740</wp:posOffset>
            </wp:positionV>
            <wp:extent cx="7247890" cy="3867150"/>
            <wp:effectExtent l="0" t="0" r="0" b="0"/>
            <wp:wrapThrough wrapText="bothSides">
              <wp:wrapPolygon edited="0">
                <wp:start x="0" y="0"/>
                <wp:lineTo x="0" y="21494"/>
                <wp:lineTo x="21517" y="21494"/>
                <wp:lineTo x="21517"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247890" cy="3867150"/>
                    </a:xfrm>
                    <a:prstGeom prst="rect">
                      <a:avLst/>
                    </a:prstGeom>
                  </pic:spPr>
                </pic:pic>
              </a:graphicData>
            </a:graphic>
            <wp14:sizeRelH relativeFrom="margin">
              <wp14:pctWidth>0</wp14:pctWidth>
            </wp14:sizeRelH>
            <wp14:sizeRelV relativeFrom="margin">
              <wp14:pctHeight>0</wp14:pctHeight>
            </wp14:sizeRelV>
          </wp:anchor>
        </w:drawing>
      </w:r>
      <w:r w:rsidR="00D41ED0" w:rsidRPr="00496D8A">
        <w:rPr>
          <w:noProof/>
        </w:rPr>
        <w:drawing>
          <wp:anchor distT="0" distB="0" distL="114300" distR="114300" simplePos="0" relativeHeight="251660288" behindDoc="1" locked="0" layoutInCell="1" allowOverlap="1" wp14:anchorId="752FE581" wp14:editId="14B69A7D">
            <wp:simplePos x="0" y="0"/>
            <wp:positionH relativeFrom="column">
              <wp:posOffset>7031990</wp:posOffset>
            </wp:positionH>
            <wp:positionV relativeFrom="paragraph">
              <wp:posOffset>206574</wp:posOffset>
            </wp:positionV>
            <wp:extent cx="7377175" cy="386715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7175" cy="3867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62341" w:rsidSect="00D41ED0">
      <w:pgSz w:w="23811" w:h="16838" w:orient="landscape" w:code="8"/>
      <w:pgMar w:top="567" w:right="989" w:bottom="709" w:left="851" w:header="708" w:footer="708" w:gutter="0"/>
      <w:cols w:space="2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A60A0"/>
    <w:multiLevelType w:val="hybridMultilevel"/>
    <w:tmpl w:val="50CAE5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B3F2116"/>
    <w:multiLevelType w:val="hybridMultilevel"/>
    <w:tmpl w:val="DC86B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C79B5"/>
    <w:multiLevelType w:val="hybridMultilevel"/>
    <w:tmpl w:val="A2449CAE"/>
    <w:lvl w:ilvl="0" w:tplc="C0F6516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8E6BA6"/>
    <w:multiLevelType w:val="hybridMultilevel"/>
    <w:tmpl w:val="B4B8A9B6"/>
    <w:lvl w:ilvl="0" w:tplc="14CE6ECC">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C605C4"/>
    <w:multiLevelType w:val="hybridMultilevel"/>
    <w:tmpl w:val="D0528492"/>
    <w:lvl w:ilvl="0" w:tplc="45CA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CB320C"/>
    <w:multiLevelType w:val="hybridMultilevel"/>
    <w:tmpl w:val="73D06200"/>
    <w:lvl w:ilvl="0" w:tplc="82A8D59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0E00DF7"/>
    <w:multiLevelType w:val="hybridMultilevel"/>
    <w:tmpl w:val="8690B070"/>
    <w:lvl w:ilvl="0" w:tplc="45CA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7C06497"/>
    <w:multiLevelType w:val="hybridMultilevel"/>
    <w:tmpl w:val="346C856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 w15:restartNumberingAfterBreak="0">
    <w:nsid w:val="49934EAC"/>
    <w:multiLevelType w:val="hybridMultilevel"/>
    <w:tmpl w:val="7332BB1E"/>
    <w:lvl w:ilvl="0" w:tplc="3646936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102483"/>
    <w:multiLevelType w:val="hybridMultilevel"/>
    <w:tmpl w:val="6E4E1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FA10B2"/>
    <w:multiLevelType w:val="hybridMultilevel"/>
    <w:tmpl w:val="48AA2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9E7D8B"/>
    <w:multiLevelType w:val="hybridMultilevel"/>
    <w:tmpl w:val="0772FF7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71226F65"/>
    <w:multiLevelType w:val="hybridMultilevel"/>
    <w:tmpl w:val="ECDEAB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6"/>
  </w:num>
  <w:num w:numId="3">
    <w:abstractNumId w:val="4"/>
  </w:num>
  <w:num w:numId="4">
    <w:abstractNumId w:val="1"/>
  </w:num>
  <w:num w:numId="5">
    <w:abstractNumId w:val="9"/>
  </w:num>
  <w:num w:numId="6">
    <w:abstractNumId w:val="3"/>
  </w:num>
  <w:num w:numId="7">
    <w:abstractNumId w:val="0"/>
  </w:num>
  <w:num w:numId="8">
    <w:abstractNumId w:val="5"/>
  </w:num>
  <w:num w:numId="9">
    <w:abstractNumId w:val="11"/>
  </w:num>
  <w:num w:numId="10">
    <w:abstractNumId w:val="2"/>
  </w:num>
  <w:num w:numId="11">
    <w:abstractNumId w:val="7"/>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41"/>
    <w:rsid w:val="00094F9E"/>
    <w:rsid w:val="000C2172"/>
    <w:rsid w:val="000E4676"/>
    <w:rsid w:val="000E6E52"/>
    <w:rsid w:val="00117329"/>
    <w:rsid w:val="001202F7"/>
    <w:rsid w:val="00122B11"/>
    <w:rsid w:val="00125513"/>
    <w:rsid w:val="00142FBD"/>
    <w:rsid w:val="0014611F"/>
    <w:rsid w:val="00183785"/>
    <w:rsid w:val="001C346B"/>
    <w:rsid w:val="00226040"/>
    <w:rsid w:val="00253790"/>
    <w:rsid w:val="00257236"/>
    <w:rsid w:val="00292007"/>
    <w:rsid w:val="00313A88"/>
    <w:rsid w:val="00314B12"/>
    <w:rsid w:val="00322DEC"/>
    <w:rsid w:val="00336ABE"/>
    <w:rsid w:val="00345741"/>
    <w:rsid w:val="003540FA"/>
    <w:rsid w:val="00360CEA"/>
    <w:rsid w:val="003A019C"/>
    <w:rsid w:val="003A2749"/>
    <w:rsid w:val="003C0406"/>
    <w:rsid w:val="003C72FA"/>
    <w:rsid w:val="003E7AD7"/>
    <w:rsid w:val="004908B6"/>
    <w:rsid w:val="00496D8A"/>
    <w:rsid w:val="004B74E5"/>
    <w:rsid w:val="004C1D99"/>
    <w:rsid w:val="004D49B1"/>
    <w:rsid w:val="00514417"/>
    <w:rsid w:val="0056695F"/>
    <w:rsid w:val="005C510A"/>
    <w:rsid w:val="005F56AF"/>
    <w:rsid w:val="00603432"/>
    <w:rsid w:val="006067F7"/>
    <w:rsid w:val="0064718E"/>
    <w:rsid w:val="006B5909"/>
    <w:rsid w:val="006D3DFB"/>
    <w:rsid w:val="006D7501"/>
    <w:rsid w:val="006F2CCE"/>
    <w:rsid w:val="00705012"/>
    <w:rsid w:val="00727A78"/>
    <w:rsid w:val="0074109C"/>
    <w:rsid w:val="00762341"/>
    <w:rsid w:val="00784A87"/>
    <w:rsid w:val="007B235E"/>
    <w:rsid w:val="007B7DF5"/>
    <w:rsid w:val="007D06EA"/>
    <w:rsid w:val="008008F1"/>
    <w:rsid w:val="00836EDD"/>
    <w:rsid w:val="008B2529"/>
    <w:rsid w:val="008B377E"/>
    <w:rsid w:val="008C5E0F"/>
    <w:rsid w:val="00923A72"/>
    <w:rsid w:val="00931F28"/>
    <w:rsid w:val="00965357"/>
    <w:rsid w:val="00990853"/>
    <w:rsid w:val="009E071E"/>
    <w:rsid w:val="00A17D9E"/>
    <w:rsid w:val="00A42E57"/>
    <w:rsid w:val="00AC70B6"/>
    <w:rsid w:val="00AD2607"/>
    <w:rsid w:val="00B253AD"/>
    <w:rsid w:val="00B66A6A"/>
    <w:rsid w:val="00B84FC3"/>
    <w:rsid w:val="00BD5858"/>
    <w:rsid w:val="00BE60C0"/>
    <w:rsid w:val="00C136AB"/>
    <w:rsid w:val="00C26C72"/>
    <w:rsid w:val="00C74812"/>
    <w:rsid w:val="00C863FC"/>
    <w:rsid w:val="00CC3546"/>
    <w:rsid w:val="00CE0D63"/>
    <w:rsid w:val="00D41ED0"/>
    <w:rsid w:val="00D97F54"/>
    <w:rsid w:val="00DB78A1"/>
    <w:rsid w:val="00DF576D"/>
    <w:rsid w:val="00E14AC9"/>
    <w:rsid w:val="00E31C05"/>
    <w:rsid w:val="00EF7F16"/>
    <w:rsid w:val="00F32AF3"/>
    <w:rsid w:val="00F36670"/>
    <w:rsid w:val="00F80CA9"/>
    <w:rsid w:val="00FB34E4"/>
    <w:rsid w:val="00FB6A46"/>
    <w:rsid w:val="00FC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0D2CCA"/>
  <w15:chartTrackingRefBased/>
  <w15:docId w15:val="{8DD700FE-7EF8-466A-8502-092F75A8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2341"/>
    <w:pPr>
      <w:widowControl w:val="0"/>
      <w:suppressAutoHyphens/>
      <w:spacing w:after="0" w:line="240" w:lineRule="auto"/>
    </w:pPr>
    <w:rPr>
      <w:rFonts w:ascii="Times New Roman" w:eastAsia="Lucida Sans Unicode"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2341"/>
    <w:rPr>
      <w:color w:val="0000FF"/>
      <w:u w:val="single"/>
    </w:rPr>
  </w:style>
  <w:style w:type="paragraph" w:styleId="Tekstdymka">
    <w:name w:val="Balloon Text"/>
    <w:basedOn w:val="Normalny"/>
    <w:link w:val="TekstdymkaZnak"/>
    <w:uiPriority w:val="99"/>
    <w:semiHidden/>
    <w:unhideWhenUsed/>
    <w:rsid w:val="003E7AD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7AD7"/>
    <w:rPr>
      <w:rFonts w:ascii="Segoe UI" w:eastAsia="Lucida Sans Unicode" w:hAnsi="Segoe UI" w:cs="Segoe UI"/>
      <w:sz w:val="18"/>
      <w:szCs w:val="18"/>
    </w:rPr>
  </w:style>
  <w:style w:type="paragraph" w:styleId="Akapitzlist">
    <w:name w:val="List Paragraph"/>
    <w:basedOn w:val="Normalny"/>
    <w:uiPriority w:val="34"/>
    <w:qFormat/>
    <w:rsid w:val="00FB34E4"/>
    <w:pPr>
      <w:ind w:left="720"/>
      <w:contextualSpacing/>
    </w:pPr>
  </w:style>
  <w:style w:type="paragraph" w:styleId="NormalnyWeb">
    <w:name w:val="Normal (Web)"/>
    <w:basedOn w:val="Normalny"/>
    <w:uiPriority w:val="99"/>
    <w:unhideWhenUsed/>
    <w:rsid w:val="00D41ED0"/>
    <w:pPr>
      <w:widowControl/>
      <w:suppressAutoHyphens w:val="0"/>
      <w:spacing w:before="100" w:beforeAutospacing="1" w:after="100" w:afterAutospacing="1"/>
    </w:pPr>
    <w:rPr>
      <w:rFonts w:eastAsia="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5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iska.pl" TargetMode="External"/><Relationship Id="rId3" Type="http://schemas.openxmlformats.org/officeDocument/2006/relationships/settings" Target="settings.xml"/><Relationship Id="rId7" Type="http://schemas.openxmlformats.org/officeDocument/2006/relationships/hyperlink" Target="http://www.bip.kalisk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Pages>
  <Words>1466</Words>
  <Characters>8801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Żbikowski</dc:creator>
  <cp:keywords/>
  <dc:description/>
  <cp:lastModifiedBy>Ewelina.Beling</cp:lastModifiedBy>
  <cp:revision>75</cp:revision>
  <cp:lastPrinted>2020-11-24T08:06:00Z</cp:lastPrinted>
  <dcterms:created xsi:type="dcterms:W3CDTF">2016-05-29T19:30:00Z</dcterms:created>
  <dcterms:modified xsi:type="dcterms:W3CDTF">2020-11-24T11:07:00Z</dcterms:modified>
</cp:coreProperties>
</file>